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5" w:type="dxa"/>
        <w:tblInd w:w="-140" w:type="dxa"/>
        <w:tblLayout w:type="fixed"/>
        <w:tblCellMar>
          <w:left w:w="40" w:type="dxa"/>
          <w:right w:w="40" w:type="dxa"/>
        </w:tblCellMar>
        <w:tblLook w:val="04A0" w:firstRow="1" w:lastRow="0" w:firstColumn="1" w:lastColumn="0" w:noHBand="0" w:noVBand="1"/>
      </w:tblPr>
      <w:tblGrid>
        <w:gridCol w:w="5039"/>
        <w:gridCol w:w="5146"/>
      </w:tblGrid>
      <w:tr w:rsidR="007207A1" w14:paraId="762DC639" w14:textId="77777777" w:rsidTr="00D34902">
        <w:tc>
          <w:tcPr>
            <w:tcW w:w="5039" w:type="dxa"/>
            <w:hideMark/>
          </w:tcPr>
          <w:p w14:paraId="2B267F43" w14:textId="5BF2ACE3" w:rsidR="00BC67CA" w:rsidRPr="00BC67CA" w:rsidRDefault="00BC67CA" w:rsidP="00BC67CA">
            <w:pPr>
              <w:keepNext/>
              <w:autoSpaceDE w:val="0"/>
              <w:autoSpaceDN w:val="0"/>
              <w:adjustRightInd w:val="0"/>
              <w:spacing w:line="240" w:lineRule="atLeast"/>
              <w:rPr>
                <w:rFonts w:ascii="Tms Rmn" w:eastAsia="Times New Roman" w:hAnsi="Tms Rmn" w:cs="Times New Roman"/>
                <w:sz w:val="24"/>
                <w:szCs w:val="24"/>
              </w:rPr>
            </w:pPr>
            <w:r w:rsidRPr="00BC67CA">
              <w:rPr>
                <w:rFonts w:ascii="Tms Rmn" w:eastAsia="Times New Roman" w:hAnsi="Tms Rmn" w:cs="Times New Roman"/>
                <w:noProof/>
                <w:sz w:val="24"/>
                <w:szCs w:val="24"/>
              </w:rPr>
              <w:drawing>
                <wp:anchor distT="0" distB="0" distL="114300" distR="114300" simplePos="0" relativeHeight="251658240" behindDoc="1" locked="0" layoutInCell="1" allowOverlap="1" wp14:anchorId="514A5187" wp14:editId="1207CBA8">
                  <wp:simplePos x="0" y="0"/>
                  <wp:positionH relativeFrom="column">
                    <wp:posOffset>25400</wp:posOffset>
                  </wp:positionH>
                  <wp:positionV relativeFrom="paragraph">
                    <wp:posOffset>109220</wp:posOffset>
                  </wp:positionV>
                  <wp:extent cx="2842895" cy="361315"/>
                  <wp:effectExtent l="0" t="0" r="0" b="635"/>
                  <wp:wrapTight wrapText="bothSides">
                    <wp:wrapPolygon edited="0">
                      <wp:start x="434" y="0"/>
                      <wp:lineTo x="0" y="3417"/>
                      <wp:lineTo x="0" y="15944"/>
                      <wp:lineTo x="289" y="20499"/>
                      <wp:lineTo x="434" y="20499"/>
                      <wp:lineTo x="2171" y="20499"/>
                      <wp:lineTo x="21421" y="15944"/>
                      <wp:lineTo x="21421" y="5694"/>
                      <wp:lineTo x="2171" y="0"/>
                      <wp:lineTo x="434" y="0"/>
                    </wp:wrapPolygon>
                  </wp:wrapTight>
                  <wp:docPr id="241746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2895" cy="361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75BC6F" w14:textId="18DB2325" w:rsidR="007207A1" w:rsidRDefault="007207A1" w:rsidP="00D34902">
            <w:pPr>
              <w:keepNext/>
              <w:autoSpaceDE w:val="0"/>
              <w:autoSpaceDN w:val="0"/>
              <w:adjustRightInd w:val="0"/>
              <w:spacing w:line="240" w:lineRule="atLeast"/>
              <w:rPr>
                <w:rFonts w:ascii="Tms Rmn" w:eastAsia="Times New Roman" w:hAnsi="Tms Rmn" w:cs="Times New Roman"/>
                <w:sz w:val="24"/>
                <w:szCs w:val="24"/>
              </w:rPr>
            </w:pPr>
          </w:p>
        </w:tc>
        <w:tc>
          <w:tcPr>
            <w:tcW w:w="5146" w:type="dxa"/>
            <w:hideMark/>
          </w:tcPr>
          <w:p w14:paraId="06CAD428" w14:textId="77777777" w:rsidR="007207A1" w:rsidRDefault="007207A1" w:rsidP="00D34902">
            <w:pPr>
              <w:autoSpaceDE w:val="0"/>
              <w:autoSpaceDN w:val="0"/>
              <w:adjustRightInd w:val="0"/>
              <w:spacing w:line="240" w:lineRule="atLeast"/>
              <w:ind w:left="352" w:right="108" w:hanging="244"/>
              <w:rPr>
                <w:rFonts w:ascii="Verdana" w:eastAsia="Times New Roman" w:hAnsi="Verdana" w:cs="Verdana"/>
                <w:b/>
                <w:bCs/>
                <w:color w:val="000000"/>
                <w:sz w:val="32"/>
                <w:szCs w:val="32"/>
              </w:rPr>
            </w:pPr>
            <w:r>
              <w:rPr>
                <w:rFonts w:ascii="Verdana" w:eastAsia="Times New Roman" w:hAnsi="Verdana" w:cs="Verdana"/>
                <w:b/>
                <w:bCs/>
                <w:color w:val="000000"/>
                <w:sz w:val="32"/>
                <w:szCs w:val="32"/>
              </w:rPr>
              <w:t xml:space="preserve">  </w:t>
            </w:r>
          </w:p>
          <w:p w14:paraId="2E39B050" w14:textId="2065EB31" w:rsidR="007207A1" w:rsidRDefault="001917A6" w:rsidP="00BC67CA">
            <w:pPr>
              <w:autoSpaceDE w:val="0"/>
              <w:autoSpaceDN w:val="0"/>
              <w:adjustRightInd w:val="0"/>
              <w:spacing w:line="254" w:lineRule="auto"/>
              <w:rPr>
                <w:rFonts w:ascii="Times New Roman" w:eastAsia="Times New Roman" w:hAnsi="Times New Roman" w:cs="Times New Roman"/>
                <w:color w:val="000000"/>
                <w:sz w:val="26"/>
                <w:szCs w:val="26"/>
              </w:rPr>
            </w:pPr>
            <w:r w:rsidRPr="7F5D3748">
              <w:rPr>
                <w:rFonts w:ascii="Verdana" w:eastAsia="Times New Roman" w:hAnsi="Verdana" w:cs="Verdana"/>
                <w:b/>
                <w:bCs/>
                <w:color w:val="000000" w:themeColor="text1"/>
                <w:sz w:val="32"/>
                <w:szCs w:val="32"/>
              </w:rPr>
              <w:t>COMMUNIQUÉ DE PRESSE</w:t>
            </w:r>
            <w:r w:rsidRPr="7F5D3748">
              <w:rPr>
                <w:rFonts w:ascii="Times New Roman" w:eastAsia="Times New Roman" w:hAnsi="Times New Roman" w:cs="Times New Roman"/>
                <w:color w:val="000000" w:themeColor="text1"/>
                <w:sz w:val="24"/>
                <w:szCs w:val="24"/>
              </w:rPr>
              <w:t xml:space="preserve">                                                           </w:t>
            </w:r>
          </w:p>
        </w:tc>
      </w:tr>
    </w:tbl>
    <w:p w14:paraId="38922FAB" w14:textId="3BDAAFEE" w:rsidR="00BB4F09" w:rsidRPr="00BB4F09" w:rsidRDefault="003151AE" w:rsidP="00BC67CA">
      <w:pPr>
        <w:spacing w:after="0" w:line="240" w:lineRule="auto"/>
        <w:jc w:val="center"/>
        <w:rPr>
          <w:rFonts w:ascii="Arial" w:hAnsi="Arial" w:cs="Arial"/>
          <w:b/>
          <w:bCs/>
          <w:color w:val="000000" w:themeColor="text1"/>
          <w:sz w:val="32"/>
          <w:szCs w:val="32"/>
          <w:lang w:val="fr-FR"/>
        </w:rPr>
      </w:pPr>
      <w:r w:rsidRPr="003151AE">
        <w:rPr>
          <w:rFonts w:ascii="Arial" w:hAnsi="Arial" w:cs="Arial"/>
          <w:b/>
          <w:bCs/>
          <w:color w:val="000000" w:themeColor="text1"/>
          <w:sz w:val="32"/>
          <w:szCs w:val="32"/>
          <w:lang w:val="fr-FR"/>
        </w:rPr>
        <w:t>Le Groupe de la Banque mondiale mobilise un volume record de capitaux privés en faveur des pays en développement, avec en ligne de mire la création d’emplois</w:t>
      </w:r>
    </w:p>
    <w:p w14:paraId="0AB4BF62" w14:textId="77777777" w:rsidR="009A6FC1" w:rsidRDefault="009A6FC1" w:rsidP="00AF4A2F">
      <w:pPr>
        <w:spacing w:after="0" w:line="240" w:lineRule="auto"/>
        <w:rPr>
          <w:rFonts w:ascii="Arial" w:hAnsi="Arial" w:cs="Arial"/>
          <w:b/>
          <w:bCs/>
          <w:sz w:val="20"/>
          <w:szCs w:val="20"/>
          <w:lang w:val="fr-FR"/>
        </w:rPr>
      </w:pPr>
    </w:p>
    <w:p w14:paraId="17149014" w14:textId="77777777" w:rsidR="00894035" w:rsidRDefault="00AF4A2F" w:rsidP="00894035">
      <w:pPr>
        <w:spacing w:after="0"/>
        <w:rPr>
          <w:rFonts w:ascii="Arial" w:hAnsi="Arial" w:cs="Arial"/>
          <w:sz w:val="20"/>
          <w:szCs w:val="20"/>
          <w:lang w:val="fr-FR"/>
        </w:rPr>
      </w:pPr>
      <w:r w:rsidRPr="007C591A">
        <w:rPr>
          <w:rFonts w:ascii="Arial" w:hAnsi="Arial" w:cs="Arial"/>
          <w:b/>
          <w:bCs/>
          <w:sz w:val="20"/>
          <w:szCs w:val="20"/>
          <w:lang w:val="fr-FR"/>
        </w:rPr>
        <w:t xml:space="preserve">WASHINGTON, </w:t>
      </w:r>
      <w:r w:rsidR="00FD0625" w:rsidRPr="00FD0625">
        <w:rPr>
          <w:rFonts w:ascii="Arial" w:hAnsi="Arial" w:cs="Arial"/>
          <w:b/>
          <w:bCs/>
          <w:sz w:val="20"/>
          <w:szCs w:val="20"/>
          <w:lang w:val="fr-FR"/>
        </w:rPr>
        <w:t>le 17 septembre 2026</w:t>
      </w:r>
      <w:r w:rsidR="00FD0625" w:rsidRPr="00FD0625">
        <w:rPr>
          <w:lang w:val="fr-FR"/>
        </w:rPr>
        <w:t xml:space="preserve"> </w:t>
      </w:r>
      <w:r w:rsidRPr="00AF4A2F">
        <w:rPr>
          <w:rFonts w:ascii="Arial" w:hAnsi="Arial" w:cs="Arial"/>
          <w:sz w:val="20"/>
          <w:szCs w:val="20"/>
          <w:lang w:val="fr-FR"/>
        </w:rPr>
        <w:t xml:space="preserve">— </w:t>
      </w:r>
      <w:r w:rsidR="00894035" w:rsidRPr="00894035">
        <w:rPr>
          <w:rFonts w:ascii="Arial" w:hAnsi="Arial" w:cs="Arial"/>
          <w:sz w:val="20"/>
          <w:szCs w:val="20"/>
          <w:lang w:val="fr-FR"/>
        </w:rPr>
        <w:t>Au cours de l’exercice 2026, le Groupe de la Banque mondiale a mobilisé un volume de capitaux privés sans précédent dans son histoire et émis un montant record de garanties, concrétisant ainsi un objectif que ses actionnaires et ses clients appelaient de leurs vœux depuis de nombreuses années : mettre davantage de capitaux privés au service des économies en développement, parallèlement à ses propres financements et à son expertise.</w:t>
      </w:r>
    </w:p>
    <w:p w14:paraId="6E6D5CA4" w14:textId="77777777" w:rsidR="00894035" w:rsidRPr="00894035" w:rsidRDefault="00894035" w:rsidP="00894035">
      <w:pPr>
        <w:spacing w:after="0"/>
        <w:rPr>
          <w:rFonts w:ascii="Arial" w:hAnsi="Arial" w:cs="Arial"/>
          <w:sz w:val="20"/>
          <w:szCs w:val="20"/>
          <w:lang w:val="fr-FR"/>
        </w:rPr>
      </w:pPr>
    </w:p>
    <w:p w14:paraId="0AE81E18"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t>Le montant de capitaux privés mobilisés par le Groupe de la Banque mondiale a plus que triplé au cours des quatre dernières années, pour passer de 35 milliards de dollars sur l’exercice 2022 à 112 milliards de dollars sur l’exercice 2026. Si l’on y ajoute les engagements pour le compte propre du Groupe, cela porte le montant total des financements et des ressources mobilisées dans les économies en développement à plus de 200 milliards de dollars pour l’exercice 2026.</w:t>
      </w:r>
    </w:p>
    <w:p w14:paraId="210A865E" w14:textId="77777777" w:rsidR="00894035" w:rsidRPr="00894035" w:rsidRDefault="00894035" w:rsidP="00894035">
      <w:pPr>
        <w:spacing w:after="0"/>
        <w:rPr>
          <w:rFonts w:ascii="Arial" w:hAnsi="Arial" w:cs="Arial"/>
          <w:sz w:val="20"/>
          <w:szCs w:val="20"/>
          <w:lang w:val="fr-FR"/>
        </w:rPr>
      </w:pPr>
    </w:p>
    <w:p w14:paraId="05D7357F"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t>Cette progression a été généralisée. La mobilisation de capitaux privés dans les pays à revenu intermédiaire inférieur a ainsi augmenté de 14 à 37 milliards de dollars, soit un niveau multiplié par trois. Elle a plus que quadruplé dans les pays à revenu intermédiaire supérieur, où elle a progressé de 12 à 50 milliards de dollars. Et si la mobilisation de capitaux privés s’est maintenue à environ 3 milliards de dollars dans les pays à faible revenu, qui figurent parmi les environnements les plus difficiles en la matière, elle a bondi de près de 150 % en Afrique, passant d’environ 9 à 22 milliards de dollars.</w:t>
      </w:r>
    </w:p>
    <w:p w14:paraId="20766950" w14:textId="77777777" w:rsidR="00894035" w:rsidRPr="00894035" w:rsidRDefault="00894035" w:rsidP="00894035">
      <w:pPr>
        <w:spacing w:after="0"/>
        <w:rPr>
          <w:rFonts w:ascii="Arial" w:hAnsi="Arial" w:cs="Arial"/>
          <w:sz w:val="20"/>
          <w:szCs w:val="20"/>
          <w:lang w:val="fr-FR"/>
        </w:rPr>
      </w:pPr>
    </w:p>
    <w:p w14:paraId="2C2BF426"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t>Ces résultats sont le fruit de trois années de changements menés dans l’ensemble du Groupe de la Banque mondiale afin de collaborer plus efficacement avec le secteur privé. L’institution s'est ainsi employée à gagner en rapidité et en simplicité, à rapprocher ses branches dédiées au secteur public et au secteur privé, et à élargir la gamme d’instruments à disposition des investisseurs. Dans chaque pays, le Groupe de la Banque mondiale s’est doté d’un point de contact unique pour ses activités avec le secteur public et privé, tout en commençant à élaborer des stratégies intégrées en fonction des besoins et des priorités de développement nationales.</w:t>
      </w:r>
    </w:p>
    <w:p w14:paraId="5F90FFF4" w14:textId="77777777" w:rsidR="00894035" w:rsidRPr="00894035" w:rsidRDefault="00894035" w:rsidP="00894035">
      <w:pPr>
        <w:spacing w:after="0"/>
        <w:rPr>
          <w:rFonts w:ascii="Arial" w:hAnsi="Arial" w:cs="Arial"/>
          <w:sz w:val="20"/>
          <w:szCs w:val="20"/>
          <w:lang w:val="fr-FR"/>
        </w:rPr>
      </w:pPr>
    </w:p>
    <w:p w14:paraId="2D421353"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t xml:space="preserve">Le Laboratoire de l’investissement privé a accompagné ces efforts, en aidant à recenser les obstacles concrets qui freinent l’investissement dans les économies en développement et en élaborant un plan de travail pour y remédier. Il s’agit d’une démarche qui s’est inscrite dans le cadre du Groupe tout entier et qui s'est attachée, tout à la fois, à améliorer l’environnement des affaires et le cadre réglementaire, à développer les garanties et les financements en monnaie nationale, à résoudre les problèmes de change, à augmenter les instruments de fonds propres et à promouvoir de nouvelles modalités de participation à grande échelle pour les investisseurs institutionnels. </w:t>
      </w:r>
    </w:p>
    <w:p w14:paraId="4FEF9005" w14:textId="77777777" w:rsidR="00553A4F" w:rsidRPr="00894035" w:rsidRDefault="00553A4F" w:rsidP="00894035">
      <w:pPr>
        <w:spacing w:after="0"/>
        <w:rPr>
          <w:rFonts w:ascii="Arial" w:hAnsi="Arial" w:cs="Arial"/>
          <w:sz w:val="20"/>
          <w:szCs w:val="20"/>
          <w:lang w:val="fr-FR"/>
        </w:rPr>
      </w:pPr>
    </w:p>
    <w:p w14:paraId="5AEC0F7F"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t xml:space="preserve">Le Groupe a émis plus de 25 milliards de dollars de garanties, dépassant avec quatre ans d’avance son objectif de porter ses émissions annuelles à 20 milliards de dollars d’ici 2030. Une progression rendue possible notamment par la création, en 2024, de la Plateforme des garanties du Groupe de la Banque mondiale. Cette approche centralisée offre aux clients et aux investisseurs un point d’accès unique et simplifié aux produits de garantie proposés par l’ensemble de l’institution. </w:t>
      </w:r>
    </w:p>
    <w:p w14:paraId="2BF4CACD" w14:textId="77777777" w:rsidR="00894035" w:rsidRPr="00894035" w:rsidRDefault="00894035" w:rsidP="00894035">
      <w:pPr>
        <w:spacing w:after="0"/>
        <w:rPr>
          <w:rFonts w:ascii="Arial" w:hAnsi="Arial" w:cs="Arial"/>
          <w:sz w:val="20"/>
          <w:szCs w:val="20"/>
          <w:lang w:val="fr-FR"/>
        </w:rPr>
      </w:pPr>
    </w:p>
    <w:p w14:paraId="2D1B6BC1"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lastRenderedPageBreak/>
        <w:t xml:space="preserve">« </w:t>
      </w:r>
      <w:r w:rsidRPr="00894035">
        <w:rPr>
          <w:rFonts w:ascii="Arial" w:hAnsi="Arial" w:cs="Arial"/>
          <w:i/>
          <w:iCs/>
          <w:sz w:val="20"/>
          <w:szCs w:val="20"/>
          <w:lang w:val="fr-FR"/>
        </w:rPr>
        <w:t>Il y a trois ans, nos actionnaires et nos clients ont exprimé des attentes claires : il nous fallait exploiter les financements et les connaissances du Groupe de la Banque mondiale de manière à mobiliser davantage de capitaux privés et à devenir un meilleur partenaire du secteur privé. Pour y parvenir, nous avons changé nos méthodes de travail, afin d’agir plus vite, plus simplement et en synergie à l’échelle du Groupe</w:t>
      </w:r>
      <w:r w:rsidRPr="00894035">
        <w:rPr>
          <w:rFonts w:ascii="Arial" w:hAnsi="Arial" w:cs="Arial"/>
          <w:sz w:val="20"/>
          <w:szCs w:val="20"/>
          <w:lang w:val="fr-FR"/>
        </w:rPr>
        <w:t xml:space="preserve">, déclare le </w:t>
      </w:r>
      <w:r w:rsidRPr="00894035">
        <w:rPr>
          <w:rFonts w:ascii="Arial" w:hAnsi="Arial" w:cs="Arial"/>
          <w:b/>
          <w:bCs/>
          <w:sz w:val="20"/>
          <w:szCs w:val="20"/>
          <w:lang w:val="fr-FR"/>
        </w:rPr>
        <w:t>président du Groupe de la Banque mondiale, Ajay Banga</w:t>
      </w:r>
      <w:r w:rsidRPr="00894035">
        <w:rPr>
          <w:rFonts w:ascii="Arial" w:hAnsi="Arial" w:cs="Arial"/>
          <w:sz w:val="20"/>
          <w:szCs w:val="20"/>
          <w:lang w:val="fr-FR"/>
        </w:rPr>
        <w:t xml:space="preserve">. </w:t>
      </w:r>
      <w:r w:rsidRPr="00894035">
        <w:rPr>
          <w:rFonts w:ascii="Arial" w:hAnsi="Arial" w:cs="Arial"/>
          <w:i/>
          <w:iCs/>
          <w:sz w:val="20"/>
          <w:szCs w:val="20"/>
          <w:lang w:val="fr-FR"/>
        </w:rPr>
        <w:t>Et les résultats sont là : 112 milliards de dollars mobilisés cette année, soit plus de trois fois notre niveau de départ. Mais ce chiffre n’a de sens que si les capitaux sont dirigés là où ils peuvent créer des opportunités et des emplois. Telle est la tâche qui nous attend : continuer à lever les obstacles, à élargir le cercle des investisseurs et à orienter davantage de capitaux vers les économies en développement</w:t>
      </w:r>
      <w:r w:rsidRPr="00894035">
        <w:rPr>
          <w:rFonts w:ascii="Arial" w:hAnsi="Arial" w:cs="Arial"/>
          <w:sz w:val="20"/>
          <w:szCs w:val="20"/>
          <w:lang w:val="fr-FR"/>
        </w:rPr>
        <w:t xml:space="preserve">. » </w:t>
      </w:r>
    </w:p>
    <w:p w14:paraId="5FFF5FFF" w14:textId="77777777" w:rsidR="00894035" w:rsidRPr="00894035" w:rsidRDefault="00894035" w:rsidP="00894035">
      <w:pPr>
        <w:spacing w:after="0"/>
        <w:rPr>
          <w:rFonts w:ascii="Arial" w:hAnsi="Arial" w:cs="Arial"/>
          <w:sz w:val="20"/>
          <w:szCs w:val="20"/>
          <w:lang w:val="fr-FR"/>
        </w:rPr>
      </w:pPr>
    </w:p>
    <w:p w14:paraId="1001A52E"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t>La création d’emplois constitue la priorité centrale du Groupe de la Banque mondiale. Dans les économies en développement, 1,2 milliard de jeunes atteindront l’âge de travailler au cours des 10 à 15 prochaines années, alors que seulement quelque 420 millions d’emplois devraient être créés. Le secteur privé est à l’origine de neuf emplois sur dix dans ces pays.</w:t>
      </w:r>
    </w:p>
    <w:p w14:paraId="5E0EDA31" w14:textId="77777777" w:rsidR="00894035" w:rsidRPr="00894035" w:rsidRDefault="00894035" w:rsidP="00894035">
      <w:pPr>
        <w:spacing w:after="0"/>
        <w:rPr>
          <w:rFonts w:ascii="Arial" w:hAnsi="Arial" w:cs="Arial"/>
          <w:sz w:val="20"/>
          <w:szCs w:val="20"/>
          <w:lang w:val="fr-FR"/>
        </w:rPr>
      </w:pPr>
    </w:p>
    <w:p w14:paraId="2A2A95ED"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t xml:space="preserve">La stratégie du Groupe de la Banque mondiale pour l’emploi s’articule autour de trois leviers qui se renforcent mutuellement : investir dans les infrastructures humaines et physiques ; instaurer un environnement réglementaire favorable à l’entreprise ; et aider le secteur privé à changer d’échelle. Elle cible cinq secteurs porteurs où la réunion de ces trois conditions peut stimuler massivement l’investissement et l’emploi : les infrastructures et l’énergie, l’agro-industrie, la santé, le tourisme et l’industrie manufacturière à valeur ajoutée. </w:t>
      </w:r>
    </w:p>
    <w:p w14:paraId="6BBD69CF" w14:textId="77777777" w:rsidR="00894035" w:rsidRPr="00894035" w:rsidRDefault="00894035" w:rsidP="00894035">
      <w:pPr>
        <w:spacing w:after="0"/>
        <w:rPr>
          <w:rFonts w:ascii="Arial" w:hAnsi="Arial" w:cs="Arial"/>
          <w:sz w:val="20"/>
          <w:szCs w:val="20"/>
          <w:lang w:val="fr-FR"/>
        </w:rPr>
      </w:pPr>
    </w:p>
    <w:p w14:paraId="3EC67220"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t xml:space="preserve">Au cours de l’exercice 2026, 55 % du total des financements (sur compte propre et en capitaux mobilisés) sont allés à ces secteurs à fort potentiel, contribuant à faire en sorte que la mise en place de fondations plus solides et de meilleures politiques publiques se transforme en investissements privés, en croissance entrepreneuriale et en créations d’emplois. Ces capitaux ne se concentrent pas uniquement sur les marchés les plus accessibles. L’investissement privé ne s’oriente pas seulement vers les marchés les plus accessibles. Il bénéficie également aux économies à faible revenu, où les investisseurs régionaux et locaux viennent de plus en plus compléter les capitaux mondiaux pour financer les entreprises et créer des emplois. </w:t>
      </w:r>
    </w:p>
    <w:p w14:paraId="489E7CF5" w14:textId="77777777" w:rsidR="00894035" w:rsidRPr="00894035" w:rsidRDefault="00894035" w:rsidP="00894035">
      <w:pPr>
        <w:spacing w:after="0"/>
        <w:rPr>
          <w:rFonts w:ascii="Arial" w:hAnsi="Arial" w:cs="Arial"/>
          <w:sz w:val="20"/>
          <w:szCs w:val="20"/>
          <w:lang w:val="fr-FR"/>
        </w:rPr>
      </w:pPr>
    </w:p>
    <w:p w14:paraId="5E1504F9" w14:textId="77777777" w:rsidR="00894035" w:rsidRDefault="00894035" w:rsidP="00894035">
      <w:pPr>
        <w:spacing w:after="0"/>
        <w:rPr>
          <w:rFonts w:ascii="Arial" w:hAnsi="Arial" w:cs="Arial"/>
          <w:sz w:val="20"/>
          <w:szCs w:val="20"/>
          <w:lang w:val="fr-FR"/>
        </w:rPr>
      </w:pPr>
      <w:r w:rsidRPr="00894035">
        <w:rPr>
          <w:rFonts w:ascii="Arial" w:hAnsi="Arial" w:cs="Arial"/>
          <w:sz w:val="20"/>
          <w:szCs w:val="20"/>
          <w:lang w:val="fr-FR"/>
        </w:rPr>
        <w:t xml:space="preserve">Le Groupe de la Banque mondiale s’emploie désormais à capitaliser sur cette dynamique en élargissant l’éventail d’investisseurs pouvant y prendre part. Dans le cadre de nouvelles approches d’octroi puis cession de crédits, le Groupe de la Banque mondiale met au point des mécanismes permettant de regrouper et de distribuer des investissements à plus grande échelle auprès d’investisseurs institutionnels, afin d’orienter une part accrue des capitaux à long terme disponibles dans le monde vers les possibilités d’investissement offertes par les économies en développement. </w:t>
      </w:r>
    </w:p>
    <w:p w14:paraId="21603C01" w14:textId="77777777" w:rsidR="00904462" w:rsidRPr="00894035" w:rsidRDefault="00904462" w:rsidP="00894035">
      <w:pPr>
        <w:spacing w:after="0"/>
        <w:rPr>
          <w:rFonts w:ascii="Arial" w:hAnsi="Arial" w:cs="Arial"/>
          <w:sz w:val="20"/>
          <w:szCs w:val="20"/>
          <w:lang w:val="fr-FR"/>
        </w:rPr>
      </w:pPr>
    </w:p>
    <w:p w14:paraId="0E858665" w14:textId="676CAC01" w:rsidR="00BD3B4C" w:rsidRPr="00BD3B4C" w:rsidRDefault="00894035" w:rsidP="00894035">
      <w:pPr>
        <w:spacing w:after="0"/>
        <w:rPr>
          <w:rFonts w:ascii="Arial" w:hAnsi="Arial" w:cs="Arial"/>
          <w:sz w:val="20"/>
          <w:szCs w:val="20"/>
          <w:lang w:val="fr-FR"/>
        </w:rPr>
      </w:pPr>
      <w:r w:rsidRPr="00894035">
        <w:rPr>
          <w:rFonts w:ascii="Arial" w:hAnsi="Arial" w:cs="Arial"/>
          <w:sz w:val="20"/>
          <w:szCs w:val="20"/>
          <w:lang w:val="fr-FR"/>
        </w:rPr>
        <w:t>L’ambition est limpide : mobiliser davantage de capitaux, en multipliant les sources de financement, et les faire fructifier au service de la création d’emplois et de débouchés économiques.</w:t>
      </w:r>
    </w:p>
    <w:p w14:paraId="0E68847C" w14:textId="77777777" w:rsidR="00BD3B4C" w:rsidRDefault="00BD3B4C" w:rsidP="00AF4A2F">
      <w:pPr>
        <w:spacing w:after="0" w:line="240" w:lineRule="auto"/>
        <w:rPr>
          <w:rFonts w:ascii="Arial" w:hAnsi="Arial" w:cs="Arial"/>
          <w:sz w:val="20"/>
          <w:szCs w:val="20"/>
          <w:lang w:val="fr-FR"/>
        </w:rPr>
      </w:pPr>
    </w:p>
    <w:p w14:paraId="6108EEA1" w14:textId="77777777" w:rsidR="00AF4A2F" w:rsidRPr="00C92285" w:rsidRDefault="00AF4A2F" w:rsidP="00AF4A2F">
      <w:pPr>
        <w:spacing w:after="0" w:line="240" w:lineRule="auto"/>
        <w:rPr>
          <w:rFonts w:ascii="Arial" w:hAnsi="Arial" w:cs="Arial"/>
          <w:sz w:val="20"/>
          <w:szCs w:val="20"/>
          <w:lang w:val="fr-FR"/>
        </w:rPr>
      </w:pPr>
    </w:p>
    <w:p w14:paraId="6E169956" w14:textId="78278409" w:rsidR="00715D22" w:rsidRPr="004C691E" w:rsidRDefault="00715D22" w:rsidP="00715D22">
      <w:pPr>
        <w:spacing w:after="0" w:line="240" w:lineRule="auto"/>
        <w:ind w:right="-72"/>
        <w:outlineLvl w:val="6"/>
        <w:rPr>
          <w:rFonts w:ascii="Arial" w:eastAsia="Times New Roman" w:hAnsi="Arial" w:cs="Arial"/>
          <w:color w:val="000000"/>
          <w:sz w:val="20"/>
          <w:szCs w:val="20"/>
          <w:lang w:val="fr-FR"/>
        </w:rPr>
      </w:pPr>
      <w:r w:rsidRPr="004C691E">
        <w:rPr>
          <w:rFonts w:ascii="Arial" w:eastAsia="Times New Roman" w:hAnsi="Arial" w:cs="Arial"/>
          <w:b/>
          <w:bCs/>
          <w:color w:val="000000"/>
          <w:sz w:val="20"/>
          <w:szCs w:val="20"/>
          <w:lang w:val="fr-FR"/>
        </w:rPr>
        <w:t>Contact</w:t>
      </w:r>
      <w:r w:rsidR="00BD3B4C">
        <w:rPr>
          <w:rFonts w:ascii="Arial" w:eastAsia="Times New Roman" w:hAnsi="Arial" w:cs="Arial"/>
          <w:b/>
          <w:bCs/>
          <w:color w:val="000000"/>
          <w:sz w:val="20"/>
          <w:szCs w:val="20"/>
          <w:lang w:val="fr-FR"/>
        </w:rPr>
        <w:t>s</w:t>
      </w:r>
      <w:r w:rsidRPr="004C691E">
        <w:rPr>
          <w:rFonts w:ascii="Arial" w:eastAsia="Times New Roman" w:hAnsi="Arial" w:cs="Arial"/>
          <w:b/>
          <w:bCs/>
          <w:color w:val="000000"/>
          <w:sz w:val="20"/>
          <w:szCs w:val="20"/>
          <w:lang w:val="fr-FR"/>
        </w:rPr>
        <w:t xml:space="preserve"> :</w:t>
      </w:r>
      <w:r w:rsidRPr="004C691E">
        <w:rPr>
          <w:rFonts w:ascii="Arial" w:eastAsia="Times New Roman" w:hAnsi="Arial" w:cs="Arial"/>
          <w:color w:val="000000"/>
          <w:sz w:val="20"/>
          <w:szCs w:val="20"/>
          <w:lang w:val="fr-FR"/>
        </w:rPr>
        <w:t xml:space="preserve"> </w:t>
      </w:r>
    </w:p>
    <w:p w14:paraId="74055E4B" w14:textId="1D6D94CF" w:rsidR="00715D22" w:rsidRPr="00BD3B4C" w:rsidRDefault="00715D22" w:rsidP="00BD3B4C">
      <w:pPr>
        <w:rPr>
          <w:rFonts w:ascii="Arial" w:hAnsi="Arial" w:cs="Arial"/>
          <w:sz w:val="20"/>
          <w:szCs w:val="20"/>
          <w:lang w:val="fr-FR"/>
        </w:rPr>
      </w:pPr>
      <w:r w:rsidRPr="00BD3B4C">
        <w:rPr>
          <w:rFonts w:ascii="Arial" w:hAnsi="Arial" w:cs="Arial"/>
          <w:sz w:val="20"/>
          <w:szCs w:val="20"/>
          <w:lang w:val="fr-FR"/>
        </w:rPr>
        <w:t>À Washington :</w:t>
      </w:r>
      <w:r w:rsidR="00BD3B4C">
        <w:rPr>
          <w:rFonts w:ascii="Arial" w:hAnsi="Arial" w:cs="Arial"/>
          <w:sz w:val="20"/>
          <w:szCs w:val="20"/>
          <w:lang w:val="fr-FR"/>
        </w:rPr>
        <w:t xml:space="preserve"> </w:t>
      </w:r>
      <w:r w:rsidR="00BD3B4C" w:rsidRPr="00BD3B4C">
        <w:rPr>
          <w:rFonts w:ascii="Arial" w:hAnsi="Arial" w:cs="Arial"/>
          <w:sz w:val="20"/>
          <w:szCs w:val="20"/>
          <w:lang w:val="fr-FR"/>
        </w:rPr>
        <w:t>Relations avec les médias de la Banque mondiale : (202) 4737660</w:t>
      </w:r>
      <w:r w:rsidR="00BD3B4C">
        <w:rPr>
          <w:rFonts w:ascii="Arial" w:hAnsi="Arial" w:cs="Arial"/>
          <w:sz w:val="20"/>
          <w:szCs w:val="20"/>
          <w:lang w:val="fr-FR"/>
        </w:rPr>
        <w:t xml:space="preserve">, </w:t>
      </w:r>
      <w:hyperlink r:id="rId13" w:history="1">
        <w:r w:rsidR="00BD3B4C" w:rsidRPr="00BD3B4C">
          <w:rPr>
            <w:rStyle w:val="Hyperlink"/>
            <w:rFonts w:ascii="Arial" w:hAnsi="Arial" w:cs="Arial"/>
            <w:sz w:val="20"/>
            <w:szCs w:val="20"/>
            <w:lang w:val="fr-FR"/>
          </w:rPr>
          <w:t>press@worldbank.org</w:t>
        </w:r>
      </w:hyperlink>
    </w:p>
    <w:p w14:paraId="73BF41E2" w14:textId="77777777" w:rsidR="00715D22" w:rsidRPr="0024772F" w:rsidRDefault="00715D22" w:rsidP="00715D22">
      <w:pPr>
        <w:spacing w:after="0" w:line="240" w:lineRule="auto"/>
        <w:rPr>
          <w:rFonts w:ascii="Arial" w:hAnsi="Arial" w:cs="Arial"/>
          <w:lang w:val="fr-FR"/>
        </w:rPr>
      </w:pPr>
    </w:p>
    <w:p w14:paraId="3DB7D5D0" w14:textId="77777777" w:rsidR="00B5705A" w:rsidRPr="00904462" w:rsidRDefault="00B5705A" w:rsidP="00831BE0">
      <w:pPr>
        <w:pStyle w:val="NormalWeb"/>
        <w:shd w:val="clear" w:color="auto" w:fill="FFFFFF"/>
        <w:spacing w:before="0" w:beforeAutospacing="0" w:after="160" w:afterAutospacing="0" w:line="259" w:lineRule="auto"/>
        <w:rPr>
          <w:rFonts w:ascii="Arial" w:hAnsi="Arial" w:cs="Arial"/>
          <w:color w:val="000000" w:themeColor="text1"/>
          <w:spacing w:val="4"/>
          <w:sz w:val="22"/>
          <w:szCs w:val="22"/>
          <w:lang w:val="fr-FR"/>
        </w:rPr>
      </w:pPr>
    </w:p>
    <w:sectPr w:rsidR="00B5705A" w:rsidRPr="00904462">
      <w:footerReference w:type="even" r:id="rId14"/>
      <w:footerReference w:type="defaul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2295C" w14:textId="77777777" w:rsidR="00232F9D" w:rsidRDefault="00232F9D" w:rsidP="00162FC2">
      <w:pPr>
        <w:spacing w:after="0" w:line="240" w:lineRule="auto"/>
      </w:pPr>
      <w:r>
        <w:separator/>
      </w:r>
    </w:p>
  </w:endnote>
  <w:endnote w:type="continuationSeparator" w:id="0">
    <w:p w14:paraId="52D38C6F" w14:textId="77777777" w:rsidR="00232F9D" w:rsidRDefault="00232F9D" w:rsidP="00162FC2">
      <w:pPr>
        <w:spacing w:after="0" w:line="240" w:lineRule="auto"/>
      </w:pPr>
      <w:r>
        <w:continuationSeparator/>
      </w:r>
    </w:p>
  </w:endnote>
  <w:endnote w:type="continuationNotice" w:id="1">
    <w:p w14:paraId="007ACB5D" w14:textId="77777777" w:rsidR="00232F9D" w:rsidRDefault="00232F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FCEBD" w14:textId="6BDA9370" w:rsidR="00077ED3" w:rsidRDefault="00D4598E">
    <w:pPr>
      <w:pStyle w:val="Footer"/>
    </w:pPr>
    <w:r>
      <w:rPr>
        <w:noProof/>
      </w:rPr>
      <mc:AlternateContent>
        <mc:Choice Requires="wps">
          <w:drawing>
            <wp:anchor distT="0" distB="0" distL="0" distR="0" simplePos="0" relativeHeight="251659264" behindDoc="0" locked="0" layoutInCell="1" allowOverlap="1" wp14:anchorId="3B572E51" wp14:editId="6CD16753">
              <wp:simplePos x="635" y="635"/>
              <wp:positionH relativeFrom="page">
                <wp:align>right</wp:align>
              </wp:positionH>
              <wp:positionV relativeFrom="page">
                <wp:align>bottom</wp:align>
              </wp:positionV>
              <wp:extent cx="1102995" cy="357505"/>
              <wp:effectExtent l="0" t="0" r="0" b="0"/>
              <wp:wrapNone/>
              <wp:docPr id="300504546"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2995" cy="357505"/>
                      </a:xfrm>
                      <a:prstGeom prst="rect">
                        <a:avLst/>
                      </a:prstGeom>
                      <a:noFill/>
                      <a:ln>
                        <a:noFill/>
                      </a:ln>
                    </wps:spPr>
                    <wps:txbx>
                      <w:txbxContent>
                        <w:p w14:paraId="5C818A93" w14:textId="70AE1991" w:rsidR="00D4598E" w:rsidRPr="00D4598E" w:rsidRDefault="00D4598E" w:rsidP="00D4598E">
                          <w:pPr>
                            <w:spacing w:after="0"/>
                            <w:rPr>
                              <w:rFonts w:ascii="Calibri" w:eastAsia="Calibri" w:hAnsi="Calibri" w:cs="Calibri"/>
                              <w:noProof/>
                              <w:color w:val="000000"/>
                              <w:sz w:val="20"/>
                              <w:szCs w:val="20"/>
                            </w:rPr>
                          </w:pPr>
                          <w:r w:rsidRPr="00D4598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B572E51" id="_x0000_t202" coordsize="21600,21600" o:spt="202" path="m,l,21600r21600,l21600,xe">
              <v:stroke joinstyle="miter"/>
              <v:path gradientshapeok="t" o:connecttype="rect"/>
            </v:shapetype>
            <v:shape id="Text Box 2" o:spid="_x0000_s1026" type="#_x0000_t202" alt="Official Use Only" style="position:absolute;margin-left:35.65pt;margin-top:0;width:86.8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" filled="f" stroked="f">
              <v:textbox style="mso-fit-shape-to-text:t" inset="0,0,20pt,15pt">
                <w:txbxContent>
                  <w:p w14:paraId="5C818A93" w14:textId="70AE1991" w:rsidR="00D4598E" w:rsidRPr="00D4598E" w:rsidRDefault="00D4598E" w:rsidP="00D4598E">
                    <w:pPr>
                      <w:spacing w:after="0"/>
                      <w:rPr>
                        <w:rFonts w:ascii="Calibri" w:eastAsia="Calibri" w:hAnsi="Calibri" w:cs="Calibri"/>
                        <w:noProof/>
                        <w:color w:val="000000"/>
                        <w:sz w:val="20"/>
                        <w:szCs w:val="20"/>
                      </w:rPr>
                    </w:pPr>
                    <w:r w:rsidRPr="00D4598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920C5" w14:textId="1CE89E52" w:rsidR="00077ED3" w:rsidRDefault="00D4598E">
    <w:pPr>
      <w:pStyle w:val="Footer"/>
    </w:pPr>
    <w:r>
      <w:rPr>
        <w:noProof/>
      </w:rPr>
      <mc:AlternateContent>
        <mc:Choice Requires="wps">
          <w:drawing>
            <wp:anchor distT="0" distB="0" distL="0" distR="0" simplePos="0" relativeHeight="251660288" behindDoc="0" locked="0" layoutInCell="1" allowOverlap="1" wp14:anchorId="230E7F5D" wp14:editId="5E5AEF07">
              <wp:simplePos x="914400" y="9429750"/>
              <wp:positionH relativeFrom="page">
                <wp:align>right</wp:align>
              </wp:positionH>
              <wp:positionV relativeFrom="page">
                <wp:align>bottom</wp:align>
              </wp:positionV>
              <wp:extent cx="1102995" cy="357505"/>
              <wp:effectExtent l="0" t="0" r="0" b="0"/>
              <wp:wrapNone/>
              <wp:docPr id="910952153"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2995" cy="357505"/>
                      </a:xfrm>
                      <a:prstGeom prst="rect">
                        <a:avLst/>
                      </a:prstGeom>
                      <a:noFill/>
                      <a:ln>
                        <a:noFill/>
                      </a:ln>
                    </wps:spPr>
                    <wps:txbx>
                      <w:txbxContent>
                        <w:p w14:paraId="18D7C7F8" w14:textId="291F3097" w:rsidR="00D4598E" w:rsidRPr="00D4598E" w:rsidRDefault="00D4598E" w:rsidP="00D4598E">
                          <w:pPr>
                            <w:spacing w:after="0"/>
                            <w:rPr>
                              <w:rFonts w:ascii="Calibri" w:eastAsia="Calibri" w:hAnsi="Calibri" w:cs="Calibri"/>
                              <w:noProof/>
                              <w:color w:val="000000"/>
                              <w:sz w:val="20"/>
                              <w:szCs w:val="20"/>
                            </w:rPr>
                          </w:pPr>
                          <w:r w:rsidRPr="00D4598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30E7F5D" id="_x0000_t202" coordsize="21600,21600" o:spt="202" path="m,l,21600r21600,l21600,xe">
              <v:stroke joinstyle="miter"/>
              <v:path gradientshapeok="t" o:connecttype="rect"/>
            </v:shapetype>
            <v:shape id="Text Box 3" o:spid="_x0000_s1027" type="#_x0000_t202" alt="Official Use Only" style="position:absolute;margin-left:35.65pt;margin-top:0;width:86.8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" filled="f" stroked="f">
              <v:textbox style="mso-fit-shape-to-text:t" inset="0,0,20pt,15pt">
                <w:txbxContent>
                  <w:p w14:paraId="18D7C7F8" w14:textId="291F3097" w:rsidR="00D4598E" w:rsidRPr="00D4598E" w:rsidRDefault="00D4598E" w:rsidP="00D4598E">
                    <w:pPr>
                      <w:spacing w:after="0"/>
                      <w:rPr>
                        <w:rFonts w:ascii="Calibri" w:eastAsia="Calibri" w:hAnsi="Calibri" w:cs="Calibri"/>
                        <w:noProof/>
                        <w:color w:val="000000"/>
                        <w:sz w:val="20"/>
                        <w:szCs w:val="20"/>
                      </w:rPr>
                    </w:pPr>
                    <w:r w:rsidRPr="00D4598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3F147" w14:textId="521CA5F1" w:rsidR="00077ED3" w:rsidRDefault="00D4598E">
    <w:pPr>
      <w:pStyle w:val="Footer"/>
    </w:pPr>
    <w:r>
      <w:rPr>
        <w:noProof/>
      </w:rPr>
      <mc:AlternateContent>
        <mc:Choice Requires="wps">
          <w:drawing>
            <wp:anchor distT="0" distB="0" distL="0" distR="0" simplePos="0" relativeHeight="251658240" behindDoc="0" locked="0" layoutInCell="1" allowOverlap="1" wp14:anchorId="3016DEE0" wp14:editId="7992E17D">
              <wp:simplePos x="635" y="635"/>
              <wp:positionH relativeFrom="page">
                <wp:align>right</wp:align>
              </wp:positionH>
              <wp:positionV relativeFrom="page">
                <wp:align>bottom</wp:align>
              </wp:positionV>
              <wp:extent cx="1102995" cy="357505"/>
              <wp:effectExtent l="0" t="0" r="0" b="0"/>
              <wp:wrapNone/>
              <wp:docPr id="722164998"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2995" cy="357505"/>
                      </a:xfrm>
                      <a:prstGeom prst="rect">
                        <a:avLst/>
                      </a:prstGeom>
                      <a:noFill/>
                      <a:ln>
                        <a:noFill/>
                      </a:ln>
                    </wps:spPr>
                    <wps:txbx>
                      <w:txbxContent>
                        <w:p w14:paraId="43BE1BF4" w14:textId="6F432C37" w:rsidR="00D4598E" w:rsidRPr="00D4598E" w:rsidRDefault="00D4598E" w:rsidP="00D4598E">
                          <w:pPr>
                            <w:spacing w:after="0"/>
                            <w:rPr>
                              <w:rFonts w:ascii="Calibri" w:eastAsia="Calibri" w:hAnsi="Calibri" w:cs="Calibri"/>
                              <w:noProof/>
                              <w:color w:val="000000"/>
                              <w:sz w:val="20"/>
                              <w:szCs w:val="20"/>
                            </w:rPr>
                          </w:pPr>
                          <w:r w:rsidRPr="00D4598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016DEE0" id="_x0000_t202" coordsize="21600,21600" o:spt="202" path="m,l,21600r21600,l21600,xe">
              <v:stroke joinstyle="miter"/>
              <v:path gradientshapeok="t" o:connecttype="rect"/>
            </v:shapetype>
            <v:shape id="Text Box 1" o:spid="_x0000_s1028" type="#_x0000_t202" alt="Official Use Only" style="position:absolute;margin-left:35.65pt;margin-top:0;width:86.8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" filled="f" stroked="f">
              <v:textbox style="mso-fit-shape-to-text:t" inset="0,0,20pt,15pt">
                <w:txbxContent>
                  <w:p w14:paraId="43BE1BF4" w14:textId="6F432C37" w:rsidR="00D4598E" w:rsidRPr="00D4598E" w:rsidRDefault="00D4598E" w:rsidP="00D4598E">
                    <w:pPr>
                      <w:spacing w:after="0"/>
                      <w:rPr>
                        <w:rFonts w:ascii="Calibri" w:eastAsia="Calibri" w:hAnsi="Calibri" w:cs="Calibri"/>
                        <w:noProof/>
                        <w:color w:val="000000"/>
                        <w:sz w:val="20"/>
                        <w:szCs w:val="20"/>
                      </w:rPr>
                    </w:pPr>
                    <w:r w:rsidRPr="00D4598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3378B" w14:textId="77777777" w:rsidR="00232F9D" w:rsidRDefault="00232F9D" w:rsidP="00162FC2">
      <w:pPr>
        <w:spacing w:after="0" w:line="240" w:lineRule="auto"/>
      </w:pPr>
      <w:r>
        <w:separator/>
      </w:r>
    </w:p>
  </w:footnote>
  <w:footnote w:type="continuationSeparator" w:id="0">
    <w:p w14:paraId="3874C2D7" w14:textId="77777777" w:rsidR="00232F9D" w:rsidRDefault="00232F9D" w:rsidP="00162FC2">
      <w:pPr>
        <w:spacing w:after="0" w:line="240" w:lineRule="auto"/>
      </w:pPr>
      <w:r>
        <w:continuationSeparator/>
      </w:r>
    </w:p>
  </w:footnote>
  <w:footnote w:type="continuationNotice" w:id="1">
    <w:p w14:paraId="6C8CFC28" w14:textId="77777777" w:rsidR="00232F9D" w:rsidRDefault="00232F9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5718C"/>
    <w:multiLevelType w:val="multilevel"/>
    <w:tmpl w:val="C23A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4B1E08"/>
    <w:multiLevelType w:val="multilevel"/>
    <w:tmpl w:val="9E72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CC607E"/>
    <w:multiLevelType w:val="multilevel"/>
    <w:tmpl w:val="249E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642B17"/>
    <w:multiLevelType w:val="hybridMultilevel"/>
    <w:tmpl w:val="F530E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6099809">
    <w:abstractNumId w:val="1"/>
  </w:num>
  <w:num w:numId="2" w16cid:durableId="620264245">
    <w:abstractNumId w:val="3"/>
  </w:num>
  <w:num w:numId="3" w16cid:durableId="1796554880">
    <w:abstractNumId w:val="2"/>
  </w:num>
  <w:num w:numId="4" w16cid:durableId="931594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9A3"/>
    <w:rsid w:val="00000A0B"/>
    <w:rsid w:val="00001331"/>
    <w:rsid w:val="0000234E"/>
    <w:rsid w:val="000024E4"/>
    <w:rsid w:val="00005315"/>
    <w:rsid w:val="0000579F"/>
    <w:rsid w:val="000067BE"/>
    <w:rsid w:val="00012650"/>
    <w:rsid w:val="000202D8"/>
    <w:rsid w:val="00022B7E"/>
    <w:rsid w:val="00022D8B"/>
    <w:rsid w:val="000259A6"/>
    <w:rsid w:val="00037798"/>
    <w:rsid w:val="00065FF7"/>
    <w:rsid w:val="0006611A"/>
    <w:rsid w:val="00066B18"/>
    <w:rsid w:val="00070445"/>
    <w:rsid w:val="000742A6"/>
    <w:rsid w:val="000743E9"/>
    <w:rsid w:val="00074C9C"/>
    <w:rsid w:val="00077ED3"/>
    <w:rsid w:val="000B1EE7"/>
    <w:rsid w:val="000B1FDC"/>
    <w:rsid w:val="000B2980"/>
    <w:rsid w:val="000B5FE7"/>
    <w:rsid w:val="000D4FAB"/>
    <w:rsid w:val="000E2123"/>
    <w:rsid w:val="000E2DD9"/>
    <w:rsid w:val="000F4731"/>
    <w:rsid w:val="0010374F"/>
    <w:rsid w:val="001038E2"/>
    <w:rsid w:val="00115205"/>
    <w:rsid w:val="001228B9"/>
    <w:rsid w:val="00125F00"/>
    <w:rsid w:val="00127CB7"/>
    <w:rsid w:val="00140CDD"/>
    <w:rsid w:val="00141C87"/>
    <w:rsid w:val="0015015F"/>
    <w:rsid w:val="001558A9"/>
    <w:rsid w:val="00157E7A"/>
    <w:rsid w:val="00162FC2"/>
    <w:rsid w:val="00174F91"/>
    <w:rsid w:val="001812FB"/>
    <w:rsid w:val="00182FE3"/>
    <w:rsid w:val="0019080F"/>
    <w:rsid w:val="001917A6"/>
    <w:rsid w:val="001A6DBB"/>
    <w:rsid w:val="001D16E7"/>
    <w:rsid w:val="001D24D1"/>
    <w:rsid w:val="001D6CE3"/>
    <w:rsid w:val="001E5E54"/>
    <w:rsid w:val="001E758E"/>
    <w:rsid w:val="001F4977"/>
    <w:rsid w:val="001F681E"/>
    <w:rsid w:val="00205DE1"/>
    <w:rsid w:val="00206F5E"/>
    <w:rsid w:val="0021011B"/>
    <w:rsid w:val="002136D2"/>
    <w:rsid w:val="00217964"/>
    <w:rsid w:val="00223FE8"/>
    <w:rsid w:val="00232F9D"/>
    <w:rsid w:val="00233C0D"/>
    <w:rsid w:val="002343E8"/>
    <w:rsid w:val="00245F6E"/>
    <w:rsid w:val="00253E61"/>
    <w:rsid w:val="00262F6D"/>
    <w:rsid w:val="00275463"/>
    <w:rsid w:val="0028226E"/>
    <w:rsid w:val="002829B1"/>
    <w:rsid w:val="0028544A"/>
    <w:rsid w:val="00286A3A"/>
    <w:rsid w:val="00294375"/>
    <w:rsid w:val="00297DD8"/>
    <w:rsid w:val="002A2D01"/>
    <w:rsid w:val="002B4367"/>
    <w:rsid w:val="002B4C28"/>
    <w:rsid w:val="002C376E"/>
    <w:rsid w:val="002D1243"/>
    <w:rsid w:val="002D1A59"/>
    <w:rsid w:val="00302752"/>
    <w:rsid w:val="00304BFC"/>
    <w:rsid w:val="00310D0F"/>
    <w:rsid w:val="003151AE"/>
    <w:rsid w:val="00317490"/>
    <w:rsid w:val="003223C5"/>
    <w:rsid w:val="00326A43"/>
    <w:rsid w:val="00332E5B"/>
    <w:rsid w:val="0033690F"/>
    <w:rsid w:val="00341578"/>
    <w:rsid w:val="0034539B"/>
    <w:rsid w:val="003501F6"/>
    <w:rsid w:val="00376B47"/>
    <w:rsid w:val="0038275D"/>
    <w:rsid w:val="00383B4F"/>
    <w:rsid w:val="00390D14"/>
    <w:rsid w:val="0039153E"/>
    <w:rsid w:val="00397364"/>
    <w:rsid w:val="003A5AB8"/>
    <w:rsid w:val="003B7C37"/>
    <w:rsid w:val="003C2598"/>
    <w:rsid w:val="003C4093"/>
    <w:rsid w:val="003C6C31"/>
    <w:rsid w:val="003C7032"/>
    <w:rsid w:val="003D2685"/>
    <w:rsid w:val="003D4906"/>
    <w:rsid w:val="003D4FE3"/>
    <w:rsid w:val="003E50E5"/>
    <w:rsid w:val="003E66C8"/>
    <w:rsid w:val="003F5270"/>
    <w:rsid w:val="003F7FDB"/>
    <w:rsid w:val="0040358F"/>
    <w:rsid w:val="00404806"/>
    <w:rsid w:val="00406242"/>
    <w:rsid w:val="00413024"/>
    <w:rsid w:val="0041520E"/>
    <w:rsid w:val="00421C56"/>
    <w:rsid w:val="00434139"/>
    <w:rsid w:val="004461D9"/>
    <w:rsid w:val="00447228"/>
    <w:rsid w:val="00450CC9"/>
    <w:rsid w:val="0045630F"/>
    <w:rsid w:val="004703E0"/>
    <w:rsid w:val="00471A0B"/>
    <w:rsid w:val="00471E52"/>
    <w:rsid w:val="00482D6E"/>
    <w:rsid w:val="0048543F"/>
    <w:rsid w:val="00485B25"/>
    <w:rsid w:val="004960E7"/>
    <w:rsid w:val="004A3E4B"/>
    <w:rsid w:val="004A5991"/>
    <w:rsid w:val="004B171C"/>
    <w:rsid w:val="004B2FFC"/>
    <w:rsid w:val="004B59D5"/>
    <w:rsid w:val="004D1102"/>
    <w:rsid w:val="004D4248"/>
    <w:rsid w:val="004E41C7"/>
    <w:rsid w:val="004E44A6"/>
    <w:rsid w:val="004E53B3"/>
    <w:rsid w:val="004F20C6"/>
    <w:rsid w:val="004F2430"/>
    <w:rsid w:val="005016EF"/>
    <w:rsid w:val="00503763"/>
    <w:rsid w:val="00511D11"/>
    <w:rsid w:val="005150D3"/>
    <w:rsid w:val="00522CD6"/>
    <w:rsid w:val="00523255"/>
    <w:rsid w:val="0052601B"/>
    <w:rsid w:val="005357D7"/>
    <w:rsid w:val="00535846"/>
    <w:rsid w:val="005431E4"/>
    <w:rsid w:val="005443FF"/>
    <w:rsid w:val="00551EAF"/>
    <w:rsid w:val="00553A4F"/>
    <w:rsid w:val="00554ABE"/>
    <w:rsid w:val="00562567"/>
    <w:rsid w:val="005674A3"/>
    <w:rsid w:val="005714FF"/>
    <w:rsid w:val="00576CE4"/>
    <w:rsid w:val="00591FDC"/>
    <w:rsid w:val="0059578E"/>
    <w:rsid w:val="005A0E2E"/>
    <w:rsid w:val="005A163E"/>
    <w:rsid w:val="005A37CC"/>
    <w:rsid w:val="005B11F8"/>
    <w:rsid w:val="005B1711"/>
    <w:rsid w:val="005B36D3"/>
    <w:rsid w:val="005B72BE"/>
    <w:rsid w:val="005C18F7"/>
    <w:rsid w:val="005E5843"/>
    <w:rsid w:val="005F6AEF"/>
    <w:rsid w:val="00612890"/>
    <w:rsid w:val="0061446A"/>
    <w:rsid w:val="00624505"/>
    <w:rsid w:val="00625DEC"/>
    <w:rsid w:val="0063028B"/>
    <w:rsid w:val="00631707"/>
    <w:rsid w:val="0063485C"/>
    <w:rsid w:val="0064361D"/>
    <w:rsid w:val="00661CF0"/>
    <w:rsid w:val="00667DF0"/>
    <w:rsid w:val="00676BB5"/>
    <w:rsid w:val="006955BE"/>
    <w:rsid w:val="006A12C1"/>
    <w:rsid w:val="006A3146"/>
    <w:rsid w:val="006A5909"/>
    <w:rsid w:val="006B0FD9"/>
    <w:rsid w:val="006B5032"/>
    <w:rsid w:val="006B5C6B"/>
    <w:rsid w:val="006C6B40"/>
    <w:rsid w:val="006F1BA1"/>
    <w:rsid w:val="006F2AC0"/>
    <w:rsid w:val="006F6753"/>
    <w:rsid w:val="00710F83"/>
    <w:rsid w:val="00715D22"/>
    <w:rsid w:val="007207A1"/>
    <w:rsid w:val="00722171"/>
    <w:rsid w:val="00727033"/>
    <w:rsid w:val="00734074"/>
    <w:rsid w:val="007342F1"/>
    <w:rsid w:val="00740D63"/>
    <w:rsid w:val="00740E45"/>
    <w:rsid w:val="00746C05"/>
    <w:rsid w:val="00752CFD"/>
    <w:rsid w:val="0075736E"/>
    <w:rsid w:val="0075769E"/>
    <w:rsid w:val="00760BE4"/>
    <w:rsid w:val="00770B24"/>
    <w:rsid w:val="007743B8"/>
    <w:rsid w:val="00774C07"/>
    <w:rsid w:val="00787736"/>
    <w:rsid w:val="00790FAA"/>
    <w:rsid w:val="007912E4"/>
    <w:rsid w:val="0079681E"/>
    <w:rsid w:val="00797C06"/>
    <w:rsid w:val="007A274E"/>
    <w:rsid w:val="007A3193"/>
    <w:rsid w:val="007B4BA7"/>
    <w:rsid w:val="007B53E8"/>
    <w:rsid w:val="007B7785"/>
    <w:rsid w:val="007C2463"/>
    <w:rsid w:val="007C589E"/>
    <w:rsid w:val="007C591A"/>
    <w:rsid w:val="007D39A0"/>
    <w:rsid w:val="007D4BA4"/>
    <w:rsid w:val="007E2C71"/>
    <w:rsid w:val="007E3138"/>
    <w:rsid w:val="007E46F1"/>
    <w:rsid w:val="007F0F31"/>
    <w:rsid w:val="007F1757"/>
    <w:rsid w:val="007F2ECC"/>
    <w:rsid w:val="007F3FB9"/>
    <w:rsid w:val="007F67C2"/>
    <w:rsid w:val="00800EBD"/>
    <w:rsid w:val="008043D8"/>
    <w:rsid w:val="008121FE"/>
    <w:rsid w:val="00813CCE"/>
    <w:rsid w:val="00817D00"/>
    <w:rsid w:val="00824770"/>
    <w:rsid w:val="00830109"/>
    <w:rsid w:val="008319F3"/>
    <w:rsid w:val="00831BE0"/>
    <w:rsid w:val="008345EC"/>
    <w:rsid w:val="00834A3E"/>
    <w:rsid w:val="0083581E"/>
    <w:rsid w:val="00835BCB"/>
    <w:rsid w:val="008430B0"/>
    <w:rsid w:val="0084E8CC"/>
    <w:rsid w:val="00854706"/>
    <w:rsid w:val="00856E07"/>
    <w:rsid w:val="00876EA8"/>
    <w:rsid w:val="00880489"/>
    <w:rsid w:val="008839E0"/>
    <w:rsid w:val="0088777F"/>
    <w:rsid w:val="00892C33"/>
    <w:rsid w:val="00894035"/>
    <w:rsid w:val="00895FBE"/>
    <w:rsid w:val="008A5AD2"/>
    <w:rsid w:val="008B0963"/>
    <w:rsid w:val="008B2238"/>
    <w:rsid w:val="008B5BB9"/>
    <w:rsid w:val="008C0B3A"/>
    <w:rsid w:val="008C6F27"/>
    <w:rsid w:val="008D3F2A"/>
    <w:rsid w:val="009021D3"/>
    <w:rsid w:val="00904462"/>
    <w:rsid w:val="009067B0"/>
    <w:rsid w:val="009124EE"/>
    <w:rsid w:val="00915736"/>
    <w:rsid w:val="009343AE"/>
    <w:rsid w:val="0093662E"/>
    <w:rsid w:val="009368FF"/>
    <w:rsid w:val="0093775F"/>
    <w:rsid w:val="009406C1"/>
    <w:rsid w:val="00940BCB"/>
    <w:rsid w:val="0094285F"/>
    <w:rsid w:val="00944751"/>
    <w:rsid w:val="009470EC"/>
    <w:rsid w:val="00951C04"/>
    <w:rsid w:val="0095788F"/>
    <w:rsid w:val="00957F78"/>
    <w:rsid w:val="009661C1"/>
    <w:rsid w:val="00971E4B"/>
    <w:rsid w:val="00971E67"/>
    <w:rsid w:val="009725DB"/>
    <w:rsid w:val="00973B3F"/>
    <w:rsid w:val="009814E4"/>
    <w:rsid w:val="00984449"/>
    <w:rsid w:val="009852DE"/>
    <w:rsid w:val="00995245"/>
    <w:rsid w:val="0099613D"/>
    <w:rsid w:val="0099639F"/>
    <w:rsid w:val="00996F36"/>
    <w:rsid w:val="009A6FC1"/>
    <w:rsid w:val="009B1C7F"/>
    <w:rsid w:val="009B6CE4"/>
    <w:rsid w:val="009C6A75"/>
    <w:rsid w:val="009F23F2"/>
    <w:rsid w:val="009F5F76"/>
    <w:rsid w:val="00A066E5"/>
    <w:rsid w:val="00A1175F"/>
    <w:rsid w:val="00A12743"/>
    <w:rsid w:val="00A14991"/>
    <w:rsid w:val="00A15897"/>
    <w:rsid w:val="00A20AF2"/>
    <w:rsid w:val="00A2379B"/>
    <w:rsid w:val="00A2530B"/>
    <w:rsid w:val="00A3048D"/>
    <w:rsid w:val="00A36FDC"/>
    <w:rsid w:val="00A4187F"/>
    <w:rsid w:val="00A5191E"/>
    <w:rsid w:val="00A53A9D"/>
    <w:rsid w:val="00A66406"/>
    <w:rsid w:val="00A6735D"/>
    <w:rsid w:val="00A67C18"/>
    <w:rsid w:val="00AA27B8"/>
    <w:rsid w:val="00AA2E5F"/>
    <w:rsid w:val="00AB34B7"/>
    <w:rsid w:val="00AB4137"/>
    <w:rsid w:val="00AC2DC0"/>
    <w:rsid w:val="00AD0989"/>
    <w:rsid w:val="00AD1F2C"/>
    <w:rsid w:val="00AD6252"/>
    <w:rsid w:val="00AD6C29"/>
    <w:rsid w:val="00AE2261"/>
    <w:rsid w:val="00AE3587"/>
    <w:rsid w:val="00AE40EE"/>
    <w:rsid w:val="00AE6ED6"/>
    <w:rsid w:val="00AE702E"/>
    <w:rsid w:val="00AF2F37"/>
    <w:rsid w:val="00AF4A2F"/>
    <w:rsid w:val="00B00D39"/>
    <w:rsid w:val="00B03ACF"/>
    <w:rsid w:val="00B07B25"/>
    <w:rsid w:val="00B17288"/>
    <w:rsid w:val="00B23C64"/>
    <w:rsid w:val="00B24F6A"/>
    <w:rsid w:val="00B26A4B"/>
    <w:rsid w:val="00B306C3"/>
    <w:rsid w:val="00B36388"/>
    <w:rsid w:val="00B45C32"/>
    <w:rsid w:val="00B46211"/>
    <w:rsid w:val="00B52E95"/>
    <w:rsid w:val="00B54FA4"/>
    <w:rsid w:val="00B5625A"/>
    <w:rsid w:val="00B568B3"/>
    <w:rsid w:val="00B5705A"/>
    <w:rsid w:val="00B746A2"/>
    <w:rsid w:val="00B85410"/>
    <w:rsid w:val="00B9095E"/>
    <w:rsid w:val="00B914A1"/>
    <w:rsid w:val="00B92F4E"/>
    <w:rsid w:val="00B9731E"/>
    <w:rsid w:val="00BA097D"/>
    <w:rsid w:val="00BA20DC"/>
    <w:rsid w:val="00BA2E70"/>
    <w:rsid w:val="00BA30FD"/>
    <w:rsid w:val="00BB27F6"/>
    <w:rsid w:val="00BB3229"/>
    <w:rsid w:val="00BB4F09"/>
    <w:rsid w:val="00BB6DA6"/>
    <w:rsid w:val="00BB7363"/>
    <w:rsid w:val="00BC516C"/>
    <w:rsid w:val="00BC67CA"/>
    <w:rsid w:val="00BD0484"/>
    <w:rsid w:val="00BD3B4C"/>
    <w:rsid w:val="00BD46DF"/>
    <w:rsid w:val="00BD4DDC"/>
    <w:rsid w:val="00BD7463"/>
    <w:rsid w:val="00BE5C53"/>
    <w:rsid w:val="00BF20CA"/>
    <w:rsid w:val="00BF24CB"/>
    <w:rsid w:val="00BF2680"/>
    <w:rsid w:val="00BF340E"/>
    <w:rsid w:val="00BF6367"/>
    <w:rsid w:val="00BF64D3"/>
    <w:rsid w:val="00C05AC6"/>
    <w:rsid w:val="00C06D75"/>
    <w:rsid w:val="00C14280"/>
    <w:rsid w:val="00C17428"/>
    <w:rsid w:val="00C22FC7"/>
    <w:rsid w:val="00C24B69"/>
    <w:rsid w:val="00C33629"/>
    <w:rsid w:val="00C337DB"/>
    <w:rsid w:val="00C44692"/>
    <w:rsid w:val="00C45F62"/>
    <w:rsid w:val="00C52A95"/>
    <w:rsid w:val="00C551E8"/>
    <w:rsid w:val="00C56D57"/>
    <w:rsid w:val="00C61B96"/>
    <w:rsid w:val="00C725AA"/>
    <w:rsid w:val="00C74181"/>
    <w:rsid w:val="00C90F51"/>
    <w:rsid w:val="00C92285"/>
    <w:rsid w:val="00C92906"/>
    <w:rsid w:val="00C96E55"/>
    <w:rsid w:val="00CA42E5"/>
    <w:rsid w:val="00CA5A1C"/>
    <w:rsid w:val="00CB46F6"/>
    <w:rsid w:val="00CC155C"/>
    <w:rsid w:val="00CC33EA"/>
    <w:rsid w:val="00CC37D6"/>
    <w:rsid w:val="00CC3BE9"/>
    <w:rsid w:val="00CC5374"/>
    <w:rsid w:val="00CD2E86"/>
    <w:rsid w:val="00CE0871"/>
    <w:rsid w:val="00CF3336"/>
    <w:rsid w:val="00CF46CE"/>
    <w:rsid w:val="00CF616F"/>
    <w:rsid w:val="00CF7FE0"/>
    <w:rsid w:val="00D10101"/>
    <w:rsid w:val="00D21133"/>
    <w:rsid w:val="00D23010"/>
    <w:rsid w:val="00D267EA"/>
    <w:rsid w:val="00D345C5"/>
    <w:rsid w:val="00D35137"/>
    <w:rsid w:val="00D450F7"/>
    <w:rsid w:val="00D4598E"/>
    <w:rsid w:val="00D569AC"/>
    <w:rsid w:val="00D62DAF"/>
    <w:rsid w:val="00D6406F"/>
    <w:rsid w:val="00D64388"/>
    <w:rsid w:val="00D714ED"/>
    <w:rsid w:val="00D73679"/>
    <w:rsid w:val="00D8084D"/>
    <w:rsid w:val="00D80960"/>
    <w:rsid w:val="00D80965"/>
    <w:rsid w:val="00D80C0F"/>
    <w:rsid w:val="00D8277A"/>
    <w:rsid w:val="00D84227"/>
    <w:rsid w:val="00D868A8"/>
    <w:rsid w:val="00D9719B"/>
    <w:rsid w:val="00DA3744"/>
    <w:rsid w:val="00DA716F"/>
    <w:rsid w:val="00DB2F3D"/>
    <w:rsid w:val="00DC1EE4"/>
    <w:rsid w:val="00DC4FBF"/>
    <w:rsid w:val="00DD1221"/>
    <w:rsid w:val="00DD4936"/>
    <w:rsid w:val="00E00D06"/>
    <w:rsid w:val="00E11290"/>
    <w:rsid w:val="00E118F2"/>
    <w:rsid w:val="00E173C1"/>
    <w:rsid w:val="00E26DD3"/>
    <w:rsid w:val="00E400EA"/>
    <w:rsid w:val="00E43753"/>
    <w:rsid w:val="00E4563B"/>
    <w:rsid w:val="00E60B9E"/>
    <w:rsid w:val="00E62883"/>
    <w:rsid w:val="00E67F11"/>
    <w:rsid w:val="00E734B8"/>
    <w:rsid w:val="00E73B5C"/>
    <w:rsid w:val="00E74CAC"/>
    <w:rsid w:val="00E81D1E"/>
    <w:rsid w:val="00E85FCC"/>
    <w:rsid w:val="00EA1339"/>
    <w:rsid w:val="00EA1867"/>
    <w:rsid w:val="00EA29CF"/>
    <w:rsid w:val="00EA39A3"/>
    <w:rsid w:val="00EB118E"/>
    <w:rsid w:val="00EB143E"/>
    <w:rsid w:val="00EB55CA"/>
    <w:rsid w:val="00EB5A3E"/>
    <w:rsid w:val="00EC3B50"/>
    <w:rsid w:val="00EC5338"/>
    <w:rsid w:val="00EC5CB2"/>
    <w:rsid w:val="00EC6B3F"/>
    <w:rsid w:val="00ED0525"/>
    <w:rsid w:val="00ED1FE0"/>
    <w:rsid w:val="00ED2040"/>
    <w:rsid w:val="00ED2597"/>
    <w:rsid w:val="00ED334B"/>
    <w:rsid w:val="00ED53C2"/>
    <w:rsid w:val="00ED604F"/>
    <w:rsid w:val="00ED7151"/>
    <w:rsid w:val="00EE21D2"/>
    <w:rsid w:val="00EE6E4E"/>
    <w:rsid w:val="00F04705"/>
    <w:rsid w:val="00F06798"/>
    <w:rsid w:val="00F11D34"/>
    <w:rsid w:val="00F11E96"/>
    <w:rsid w:val="00F22575"/>
    <w:rsid w:val="00F3223C"/>
    <w:rsid w:val="00F367B1"/>
    <w:rsid w:val="00F40772"/>
    <w:rsid w:val="00F45F9C"/>
    <w:rsid w:val="00F5709A"/>
    <w:rsid w:val="00F570DF"/>
    <w:rsid w:val="00F62CF0"/>
    <w:rsid w:val="00F81EE8"/>
    <w:rsid w:val="00F8705F"/>
    <w:rsid w:val="00F92710"/>
    <w:rsid w:val="00F92B59"/>
    <w:rsid w:val="00F97A27"/>
    <w:rsid w:val="00FB11C2"/>
    <w:rsid w:val="00FB2DA1"/>
    <w:rsid w:val="00FB6FB1"/>
    <w:rsid w:val="00FC5863"/>
    <w:rsid w:val="00FD0625"/>
    <w:rsid w:val="00FE55E7"/>
    <w:rsid w:val="0106FCC2"/>
    <w:rsid w:val="02A96EC7"/>
    <w:rsid w:val="03452476"/>
    <w:rsid w:val="03B686D1"/>
    <w:rsid w:val="0431D185"/>
    <w:rsid w:val="06B7CA73"/>
    <w:rsid w:val="08B6B456"/>
    <w:rsid w:val="09405498"/>
    <w:rsid w:val="0981247E"/>
    <w:rsid w:val="0A2F8F0C"/>
    <w:rsid w:val="0A47C233"/>
    <w:rsid w:val="0B932C69"/>
    <w:rsid w:val="0E665275"/>
    <w:rsid w:val="0EA9E5AD"/>
    <w:rsid w:val="10C854AA"/>
    <w:rsid w:val="11172BB5"/>
    <w:rsid w:val="11174ABD"/>
    <w:rsid w:val="11484A6B"/>
    <w:rsid w:val="1166DB60"/>
    <w:rsid w:val="12662B26"/>
    <w:rsid w:val="13175BEC"/>
    <w:rsid w:val="1490BD53"/>
    <w:rsid w:val="14FAE6F1"/>
    <w:rsid w:val="1509D2E1"/>
    <w:rsid w:val="15528668"/>
    <w:rsid w:val="189DABA3"/>
    <w:rsid w:val="19BC7458"/>
    <w:rsid w:val="1A3137F7"/>
    <w:rsid w:val="1A4A3C72"/>
    <w:rsid w:val="1A55AC66"/>
    <w:rsid w:val="1A825193"/>
    <w:rsid w:val="1BDDA31E"/>
    <w:rsid w:val="1BF55163"/>
    <w:rsid w:val="1C157A39"/>
    <w:rsid w:val="1DDC5CFA"/>
    <w:rsid w:val="20DB19D0"/>
    <w:rsid w:val="219E1EE9"/>
    <w:rsid w:val="28DB4689"/>
    <w:rsid w:val="29AAF94C"/>
    <w:rsid w:val="2B8ED9F1"/>
    <w:rsid w:val="2D540E83"/>
    <w:rsid w:val="2DCD3CE0"/>
    <w:rsid w:val="2F36F5F0"/>
    <w:rsid w:val="31655ABE"/>
    <w:rsid w:val="322084EB"/>
    <w:rsid w:val="352C2EC3"/>
    <w:rsid w:val="3566494C"/>
    <w:rsid w:val="35CEA3A4"/>
    <w:rsid w:val="35FA07D9"/>
    <w:rsid w:val="364B83DF"/>
    <w:rsid w:val="36A9867B"/>
    <w:rsid w:val="3A0A9D1E"/>
    <w:rsid w:val="3A98A1B7"/>
    <w:rsid w:val="3CC210A5"/>
    <w:rsid w:val="3D4FF33A"/>
    <w:rsid w:val="3DDD2A6E"/>
    <w:rsid w:val="3F9B85C4"/>
    <w:rsid w:val="414A2F4A"/>
    <w:rsid w:val="439E9420"/>
    <w:rsid w:val="45B99C65"/>
    <w:rsid w:val="461DADFA"/>
    <w:rsid w:val="489F2040"/>
    <w:rsid w:val="4AEA5858"/>
    <w:rsid w:val="4DE15E80"/>
    <w:rsid w:val="4E114068"/>
    <w:rsid w:val="502055D9"/>
    <w:rsid w:val="509DF955"/>
    <w:rsid w:val="50C4484E"/>
    <w:rsid w:val="52F6AA33"/>
    <w:rsid w:val="55A70248"/>
    <w:rsid w:val="571B909B"/>
    <w:rsid w:val="59C1E159"/>
    <w:rsid w:val="5C652F4F"/>
    <w:rsid w:val="5DA5574C"/>
    <w:rsid w:val="5F90B468"/>
    <w:rsid w:val="6048D778"/>
    <w:rsid w:val="61492889"/>
    <w:rsid w:val="6226DEA2"/>
    <w:rsid w:val="624C52E2"/>
    <w:rsid w:val="6336AB70"/>
    <w:rsid w:val="650AB64D"/>
    <w:rsid w:val="6598C696"/>
    <w:rsid w:val="668DA970"/>
    <w:rsid w:val="68021D69"/>
    <w:rsid w:val="6A1CEFCE"/>
    <w:rsid w:val="6A8E7C07"/>
    <w:rsid w:val="6C276681"/>
    <w:rsid w:val="6CD47003"/>
    <w:rsid w:val="6F1367C8"/>
    <w:rsid w:val="70B2F017"/>
    <w:rsid w:val="72CB4329"/>
    <w:rsid w:val="766F37EA"/>
    <w:rsid w:val="7954858F"/>
    <w:rsid w:val="7E6C3A8B"/>
    <w:rsid w:val="7EEF3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A052E"/>
  <w15:chartTrackingRefBased/>
  <w15:docId w15:val="{7FD708AA-4487-4BFB-BF30-A8828615F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9A3"/>
  </w:style>
  <w:style w:type="paragraph" w:styleId="Heading1">
    <w:name w:val="heading 1"/>
    <w:basedOn w:val="Normal"/>
    <w:next w:val="Normal"/>
    <w:link w:val="Heading1Char"/>
    <w:uiPriority w:val="9"/>
    <w:qFormat/>
    <w:rsid w:val="00EA3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A3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A3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9A3"/>
    <w:rPr>
      <w:rFonts w:eastAsiaTheme="majorEastAsia" w:cstheme="majorBidi"/>
      <w:color w:val="272727" w:themeColor="text1" w:themeTint="D8"/>
    </w:rPr>
  </w:style>
  <w:style w:type="paragraph" w:styleId="Title">
    <w:name w:val="Title"/>
    <w:basedOn w:val="Normal"/>
    <w:next w:val="Normal"/>
    <w:link w:val="TitleChar"/>
    <w:uiPriority w:val="10"/>
    <w:qFormat/>
    <w:rsid w:val="00EA3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9A3"/>
    <w:pPr>
      <w:spacing w:before="160"/>
      <w:jc w:val="center"/>
    </w:pPr>
    <w:rPr>
      <w:i/>
      <w:iCs/>
      <w:color w:val="404040" w:themeColor="text1" w:themeTint="BF"/>
    </w:rPr>
  </w:style>
  <w:style w:type="character" w:customStyle="1" w:styleId="QuoteChar">
    <w:name w:val="Quote Char"/>
    <w:basedOn w:val="DefaultParagraphFont"/>
    <w:link w:val="Quote"/>
    <w:uiPriority w:val="29"/>
    <w:rsid w:val="00EA39A3"/>
    <w:rPr>
      <w:i/>
      <w:iCs/>
      <w:color w:val="404040" w:themeColor="text1" w:themeTint="BF"/>
    </w:rPr>
  </w:style>
  <w:style w:type="paragraph" w:styleId="ListParagraph">
    <w:name w:val="List Paragraph"/>
    <w:aliases w:val="Bullets,Numbered List Paragraph,123 List Paragraph,List Paragraph1,Celula,WB Para,Numbered Paragraph,# pharagraph,ADB paragraph numbering"/>
    <w:basedOn w:val="Normal"/>
    <w:link w:val="ListParagraphChar"/>
    <w:uiPriority w:val="34"/>
    <w:qFormat/>
    <w:rsid w:val="00EA39A3"/>
    <w:pPr>
      <w:ind w:left="720"/>
      <w:contextualSpacing/>
    </w:pPr>
  </w:style>
  <w:style w:type="character" w:styleId="IntenseEmphasis">
    <w:name w:val="Intense Emphasis"/>
    <w:basedOn w:val="DefaultParagraphFont"/>
    <w:uiPriority w:val="21"/>
    <w:qFormat/>
    <w:rsid w:val="00EA39A3"/>
    <w:rPr>
      <w:i/>
      <w:iCs/>
      <w:color w:val="0F4761" w:themeColor="accent1" w:themeShade="BF"/>
    </w:rPr>
  </w:style>
  <w:style w:type="paragraph" w:styleId="IntenseQuote">
    <w:name w:val="Intense Quote"/>
    <w:basedOn w:val="Normal"/>
    <w:next w:val="Normal"/>
    <w:link w:val="IntenseQuoteChar"/>
    <w:uiPriority w:val="30"/>
    <w:qFormat/>
    <w:rsid w:val="00EA3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9A3"/>
    <w:rPr>
      <w:i/>
      <w:iCs/>
      <w:color w:val="0F4761" w:themeColor="accent1" w:themeShade="BF"/>
    </w:rPr>
  </w:style>
  <w:style w:type="character" w:styleId="IntenseReference">
    <w:name w:val="Intense Reference"/>
    <w:basedOn w:val="DefaultParagraphFont"/>
    <w:uiPriority w:val="32"/>
    <w:qFormat/>
    <w:rsid w:val="00EA39A3"/>
    <w:rPr>
      <w:b/>
      <w:bCs/>
      <w:smallCaps/>
      <w:color w:val="0F4761" w:themeColor="accent1" w:themeShade="BF"/>
      <w:spacing w:val="5"/>
    </w:rPr>
  </w:style>
  <w:style w:type="character" w:customStyle="1" w:styleId="ListParagraphChar">
    <w:name w:val="List Paragraph Char"/>
    <w:aliases w:val="Bullets Char,Numbered List Paragraph Char,123 List Paragraph Char,List Paragraph1 Char,Celula Char,WB Para Char,Numbered Paragraph Char,# pharagraph Char,ADB paragraph numbering Char"/>
    <w:link w:val="ListParagraph"/>
    <w:uiPriority w:val="34"/>
    <w:locked/>
    <w:rsid w:val="000067BE"/>
  </w:style>
  <w:style w:type="paragraph" w:styleId="NormalWeb">
    <w:name w:val="Normal (Web)"/>
    <w:basedOn w:val="Normal"/>
    <w:uiPriority w:val="99"/>
    <w:unhideWhenUsed/>
    <w:rsid w:val="00B26A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275463"/>
    <w:rPr>
      <w:sz w:val="16"/>
      <w:szCs w:val="16"/>
    </w:rPr>
  </w:style>
  <w:style w:type="paragraph" w:styleId="CommentText">
    <w:name w:val="annotation text"/>
    <w:basedOn w:val="Normal"/>
    <w:link w:val="CommentTextChar"/>
    <w:uiPriority w:val="99"/>
    <w:unhideWhenUsed/>
    <w:rsid w:val="00275463"/>
    <w:pPr>
      <w:spacing w:line="240" w:lineRule="auto"/>
    </w:pPr>
    <w:rPr>
      <w:sz w:val="20"/>
      <w:szCs w:val="20"/>
    </w:rPr>
  </w:style>
  <w:style w:type="character" w:customStyle="1" w:styleId="CommentTextChar">
    <w:name w:val="Comment Text Char"/>
    <w:basedOn w:val="DefaultParagraphFont"/>
    <w:link w:val="CommentText"/>
    <w:uiPriority w:val="99"/>
    <w:rsid w:val="00275463"/>
    <w:rPr>
      <w:sz w:val="20"/>
      <w:szCs w:val="20"/>
    </w:rPr>
  </w:style>
  <w:style w:type="paragraph" w:styleId="CommentSubject">
    <w:name w:val="annotation subject"/>
    <w:basedOn w:val="CommentText"/>
    <w:next w:val="CommentText"/>
    <w:link w:val="CommentSubjectChar"/>
    <w:uiPriority w:val="99"/>
    <w:semiHidden/>
    <w:unhideWhenUsed/>
    <w:rsid w:val="00275463"/>
    <w:rPr>
      <w:b/>
      <w:bCs/>
    </w:rPr>
  </w:style>
  <w:style w:type="character" w:customStyle="1" w:styleId="CommentSubjectChar">
    <w:name w:val="Comment Subject Char"/>
    <w:basedOn w:val="CommentTextChar"/>
    <w:link w:val="CommentSubject"/>
    <w:uiPriority w:val="99"/>
    <w:semiHidden/>
    <w:rsid w:val="00275463"/>
    <w:rPr>
      <w:b/>
      <w:bCs/>
      <w:sz w:val="20"/>
      <w:szCs w:val="20"/>
    </w:rPr>
  </w:style>
  <w:style w:type="paragraph" w:styleId="Header">
    <w:name w:val="header"/>
    <w:basedOn w:val="Normal"/>
    <w:link w:val="HeaderChar"/>
    <w:uiPriority w:val="99"/>
    <w:unhideWhenUsed/>
    <w:rsid w:val="00162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FC2"/>
  </w:style>
  <w:style w:type="paragraph" w:styleId="Footer">
    <w:name w:val="footer"/>
    <w:basedOn w:val="Normal"/>
    <w:link w:val="FooterChar"/>
    <w:uiPriority w:val="99"/>
    <w:unhideWhenUsed/>
    <w:rsid w:val="00162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FC2"/>
  </w:style>
  <w:style w:type="character" w:styleId="Hyperlink">
    <w:name w:val="Hyperlink"/>
    <w:basedOn w:val="DefaultParagraphFont"/>
    <w:uiPriority w:val="99"/>
    <w:unhideWhenUsed/>
    <w:rsid w:val="00B5705A"/>
    <w:rPr>
      <w:color w:val="467886" w:themeColor="hyperlink"/>
      <w:u w:val="single"/>
    </w:rPr>
  </w:style>
  <w:style w:type="paragraph" w:styleId="Revision">
    <w:name w:val="Revision"/>
    <w:hidden/>
    <w:uiPriority w:val="99"/>
    <w:semiHidden/>
    <w:rsid w:val="00C33629"/>
    <w:pPr>
      <w:spacing w:after="0" w:line="240" w:lineRule="auto"/>
    </w:pPr>
  </w:style>
  <w:style w:type="table" w:styleId="PlainTable2">
    <w:name w:val="Plain Table 2"/>
    <w:basedOn w:val="TableNormal"/>
    <w:uiPriority w:val="42"/>
    <w:rsid w:val="007F2E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D868A8"/>
    <w:pPr>
      <w:spacing w:after="0" w:line="240" w:lineRule="auto"/>
    </w:pPr>
    <w:rPr>
      <w:kern w:val="0"/>
      <w14:ligatures w14:val="none"/>
    </w:rPr>
  </w:style>
  <w:style w:type="character" w:styleId="UnresolvedMention">
    <w:name w:val="Unresolved Mention"/>
    <w:basedOn w:val="DefaultParagraphFont"/>
    <w:uiPriority w:val="99"/>
    <w:semiHidden/>
    <w:unhideWhenUsed/>
    <w:rsid w:val="003C70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4486">
      <w:bodyDiv w:val="1"/>
      <w:marLeft w:val="0"/>
      <w:marRight w:val="0"/>
      <w:marTop w:val="0"/>
      <w:marBottom w:val="0"/>
      <w:divBdr>
        <w:top w:val="none" w:sz="0" w:space="0" w:color="auto"/>
        <w:left w:val="none" w:sz="0" w:space="0" w:color="auto"/>
        <w:bottom w:val="none" w:sz="0" w:space="0" w:color="auto"/>
        <w:right w:val="none" w:sz="0" w:space="0" w:color="auto"/>
      </w:divBdr>
    </w:div>
    <w:div w:id="52436565">
      <w:bodyDiv w:val="1"/>
      <w:marLeft w:val="0"/>
      <w:marRight w:val="0"/>
      <w:marTop w:val="0"/>
      <w:marBottom w:val="0"/>
      <w:divBdr>
        <w:top w:val="none" w:sz="0" w:space="0" w:color="auto"/>
        <w:left w:val="none" w:sz="0" w:space="0" w:color="auto"/>
        <w:bottom w:val="none" w:sz="0" w:space="0" w:color="auto"/>
        <w:right w:val="none" w:sz="0" w:space="0" w:color="auto"/>
      </w:divBdr>
    </w:div>
    <w:div w:id="119884467">
      <w:bodyDiv w:val="1"/>
      <w:marLeft w:val="0"/>
      <w:marRight w:val="0"/>
      <w:marTop w:val="0"/>
      <w:marBottom w:val="0"/>
      <w:divBdr>
        <w:top w:val="none" w:sz="0" w:space="0" w:color="auto"/>
        <w:left w:val="none" w:sz="0" w:space="0" w:color="auto"/>
        <w:bottom w:val="none" w:sz="0" w:space="0" w:color="auto"/>
        <w:right w:val="none" w:sz="0" w:space="0" w:color="auto"/>
      </w:divBdr>
    </w:div>
    <w:div w:id="199054111">
      <w:bodyDiv w:val="1"/>
      <w:marLeft w:val="0"/>
      <w:marRight w:val="0"/>
      <w:marTop w:val="0"/>
      <w:marBottom w:val="0"/>
      <w:divBdr>
        <w:top w:val="none" w:sz="0" w:space="0" w:color="auto"/>
        <w:left w:val="none" w:sz="0" w:space="0" w:color="auto"/>
        <w:bottom w:val="none" w:sz="0" w:space="0" w:color="auto"/>
        <w:right w:val="none" w:sz="0" w:space="0" w:color="auto"/>
      </w:divBdr>
    </w:div>
    <w:div w:id="223489424">
      <w:bodyDiv w:val="1"/>
      <w:marLeft w:val="0"/>
      <w:marRight w:val="0"/>
      <w:marTop w:val="0"/>
      <w:marBottom w:val="0"/>
      <w:divBdr>
        <w:top w:val="none" w:sz="0" w:space="0" w:color="auto"/>
        <w:left w:val="none" w:sz="0" w:space="0" w:color="auto"/>
        <w:bottom w:val="none" w:sz="0" w:space="0" w:color="auto"/>
        <w:right w:val="none" w:sz="0" w:space="0" w:color="auto"/>
      </w:divBdr>
    </w:div>
    <w:div w:id="249318807">
      <w:bodyDiv w:val="1"/>
      <w:marLeft w:val="0"/>
      <w:marRight w:val="0"/>
      <w:marTop w:val="0"/>
      <w:marBottom w:val="0"/>
      <w:divBdr>
        <w:top w:val="none" w:sz="0" w:space="0" w:color="auto"/>
        <w:left w:val="none" w:sz="0" w:space="0" w:color="auto"/>
        <w:bottom w:val="none" w:sz="0" w:space="0" w:color="auto"/>
        <w:right w:val="none" w:sz="0" w:space="0" w:color="auto"/>
      </w:divBdr>
    </w:div>
    <w:div w:id="277176943">
      <w:bodyDiv w:val="1"/>
      <w:marLeft w:val="0"/>
      <w:marRight w:val="0"/>
      <w:marTop w:val="0"/>
      <w:marBottom w:val="0"/>
      <w:divBdr>
        <w:top w:val="none" w:sz="0" w:space="0" w:color="auto"/>
        <w:left w:val="none" w:sz="0" w:space="0" w:color="auto"/>
        <w:bottom w:val="none" w:sz="0" w:space="0" w:color="auto"/>
        <w:right w:val="none" w:sz="0" w:space="0" w:color="auto"/>
      </w:divBdr>
    </w:div>
    <w:div w:id="404688922">
      <w:bodyDiv w:val="1"/>
      <w:marLeft w:val="0"/>
      <w:marRight w:val="0"/>
      <w:marTop w:val="0"/>
      <w:marBottom w:val="0"/>
      <w:divBdr>
        <w:top w:val="none" w:sz="0" w:space="0" w:color="auto"/>
        <w:left w:val="none" w:sz="0" w:space="0" w:color="auto"/>
        <w:bottom w:val="none" w:sz="0" w:space="0" w:color="auto"/>
        <w:right w:val="none" w:sz="0" w:space="0" w:color="auto"/>
      </w:divBdr>
    </w:div>
    <w:div w:id="410857032">
      <w:bodyDiv w:val="1"/>
      <w:marLeft w:val="0"/>
      <w:marRight w:val="0"/>
      <w:marTop w:val="0"/>
      <w:marBottom w:val="0"/>
      <w:divBdr>
        <w:top w:val="none" w:sz="0" w:space="0" w:color="auto"/>
        <w:left w:val="none" w:sz="0" w:space="0" w:color="auto"/>
        <w:bottom w:val="none" w:sz="0" w:space="0" w:color="auto"/>
        <w:right w:val="none" w:sz="0" w:space="0" w:color="auto"/>
      </w:divBdr>
    </w:div>
    <w:div w:id="444228509">
      <w:bodyDiv w:val="1"/>
      <w:marLeft w:val="0"/>
      <w:marRight w:val="0"/>
      <w:marTop w:val="0"/>
      <w:marBottom w:val="0"/>
      <w:divBdr>
        <w:top w:val="none" w:sz="0" w:space="0" w:color="auto"/>
        <w:left w:val="none" w:sz="0" w:space="0" w:color="auto"/>
        <w:bottom w:val="none" w:sz="0" w:space="0" w:color="auto"/>
        <w:right w:val="none" w:sz="0" w:space="0" w:color="auto"/>
      </w:divBdr>
    </w:div>
    <w:div w:id="460270528">
      <w:bodyDiv w:val="1"/>
      <w:marLeft w:val="0"/>
      <w:marRight w:val="0"/>
      <w:marTop w:val="0"/>
      <w:marBottom w:val="0"/>
      <w:divBdr>
        <w:top w:val="none" w:sz="0" w:space="0" w:color="auto"/>
        <w:left w:val="none" w:sz="0" w:space="0" w:color="auto"/>
        <w:bottom w:val="none" w:sz="0" w:space="0" w:color="auto"/>
        <w:right w:val="none" w:sz="0" w:space="0" w:color="auto"/>
      </w:divBdr>
    </w:div>
    <w:div w:id="497308711">
      <w:bodyDiv w:val="1"/>
      <w:marLeft w:val="0"/>
      <w:marRight w:val="0"/>
      <w:marTop w:val="0"/>
      <w:marBottom w:val="0"/>
      <w:divBdr>
        <w:top w:val="none" w:sz="0" w:space="0" w:color="auto"/>
        <w:left w:val="none" w:sz="0" w:space="0" w:color="auto"/>
        <w:bottom w:val="none" w:sz="0" w:space="0" w:color="auto"/>
        <w:right w:val="none" w:sz="0" w:space="0" w:color="auto"/>
      </w:divBdr>
    </w:div>
    <w:div w:id="510144800">
      <w:bodyDiv w:val="1"/>
      <w:marLeft w:val="0"/>
      <w:marRight w:val="0"/>
      <w:marTop w:val="0"/>
      <w:marBottom w:val="0"/>
      <w:divBdr>
        <w:top w:val="none" w:sz="0" w:space="0" w:color="auto"/>
        <w:left w:val="none" w:sz="0" w:space="0" w:color="auto"/>
        <w:bottom w:val="none" w:sz="0" w:space="0" w:color="auto"/>
        <w:right w:val="none" w:sz="0" w:space="0" w:color="auto"/>
      </w:divBdr>
    </w:div>
    <w:div w:id="550843634">
      <w:bodyDiv w:val="1"/>
      <w:marLeft w:val="0"/>
      <w:marRight w:val="0"/>
      <w:marTop w:val="0"/>
      <w:marBottom w:val="0"/>
      <w:divBdr>
        <w:top w:val="none" w:sz="0" w:space="0" w:color="auto"/>
        <w:left w:val="none" w:sz="0" w:space="0" w:color="auto"/>
        <w:bottom w:val="none" w:sz="0" w:space="0" w:color="auto"/>
        <w:right w:val="none" w:sz="0" w:space="0" w:color="auto"/>
      </w:divBdr>
    </w:div>
    <w:div w:id="695811945">
      <w:bodyDiv w:val="1"/>
      <w:marLeft w:val="0"/>
      <w:marRight w:val="0"/>
      <w:marTop w:val="0"/>
      <w:marBottom w:val="0"/>
      <w:divBdr>
        <w:top w:val="none" w:sz="0" w:space="0" w:color="auto"/>
        <w:left w:val="none" w:sz="0" w:space="0" w:color="auto"/>
        <w:bottom w:val="none" w:sz="0" w:space="0" w:color="auto"/>
        <w:right w:val="none" w:sz="0" w:space="0" w:color="auto"/>
      </w:divBdr>
    </w:div>
    <w:div w:id="705983213">
      <w:bodyDiv w:val="1"/>
      <w:marLeft w:val="0"/>
      <w:marRight w:val="0"/>
      <w:marTop w:val="0"/>
      <w:marBottom w:val="0"/>
      <w:divBdr>
        <w:top w:val="none" w:sz="0" w:space="0" w:color="auto"/>
        <w:left w:val="none" w:sz="0" w:space="0" w:color="auto"/>
        <w:bottom w:val="none" w:sz="0" w:space="0" w:color="auto"/>
        <w:right w:val="none" w:sz="0" w:space="0" w:color="auto"/>
      </w:divBdr>
    </w:div>
    <w:div w:id="740636072">
      <w:bodyDiv w:val="1"/>
      <w:marLeft w:val="0"/>
      <w:marRight w:val="0"/>
      <w:marTop w:val="0"/>
      <w:marBottom w:val="0"/>
      <w:divBdr>
        <w:top w:val="none" w:sz="0" w:space="0" w:color="auto"/>
        <w:left w:val="none" w:sz="0" w:space="0" w:color="auto"/>
        <w:bottom w:val="none" w:sz="0" w:space="0" w:color="auto"/>
        <w:right w:val="none" w:sz="0" w:space="0" w:color="auto"/>
      </w:divBdr>
    </w:div>
    <w:div w:id="740757730">
      <w:bodyDiv w:val="1"/>
      <w:marLeft w:val="0"/>
      <w:marRight w:val="0"/>
      <w:marTop w:val="0"/>
      <w:marBottom w:val="0"/>
      <w:divBdr>
        <w:top w:val="none" w:sz="0" w:space="0" w:color="auto"/>
        <w:left w:val="none" w:sz="0" w:space="0" w:color="auto"/>
        <w:bottom w:val="none" w:sz="0" w:space="0" w:color="auto"/>
        <w:right w:val="none" w:sz="0" w:space="0" w:color="auto"/>
      </w:divBdr>
    </w:div>
    <w:div w:id="762341264">
      <w:bodyDiv w:val="1"/>
      <w:marLeft w:val="0"/>
      <w:marRight w:val="0"/>
      <w:marTop w:val="0"/>
      <w:marBottom w:val="0"/>
      <w:divBdr>
        <w:top w:val="none" w:sz="0" w:space="0" w:color="auto"/>
        <w:left w:val="none" w:sz="0" w:space="0" w:color="auto"/>
        <w:bottom w:val="none" w:sz="0" w:space="0" w:color="auto"/>
        <w:right w:val="none" w:sz="0" w:space="0" w:color="auto"/>
      </w:divBdr>
    </w:div>
    <w:div w:id="922184918">
      <w:bodyDiv w:val="1"/>
      <w:marLeft w:val="0"/>
      <w:marRight w:val="0"/>
      <w:marTop w:val="0"/>
      <w:marBottom w:val="0"/>
      <w:divBdr>
        <w:top w:val="none" w:sz="0" w:space="0" w:color="auto"/>
        <w:left w:val="none" w:sz="0" w:space="0" w:color="auto"/>
        <w:bottom w:val="none" w:sz="0" w:space="0" w:color="auto"/>
        <w:right w:val="none" w:sz="0" w:space="0" w:color="auto"/>
      </w:divBdr>
    </w:div>
    <w:div w:id="966738598">
      <w:bodyDiv w:val="1"/>
      <w:marLeft w:val="0"/>
      <w:marRight w:val="0"/>
      <w:marTop w:val="0"/>
      <w:marBottom w:val="0"/>
      <w:divBdr>
        <w:top w:val="none" w:sz="0" w:space="0" w:color="auto"/>
        <w:left w:val="none" w:sz="0" w:space="0" w:color="auto"/>
        <w:bottom w:val="none" w:sz="0" w:space="0" w:color="auto"/>
        <w:right w:val="none" w:sz="0" w:space="0" w:color="auto"/>
      </w:divBdr>
    </w:div>
    <w:div w:id="1014260655">
      <w:bodyDiv w:val="1"/>
      <w:marLeft w:val="0"/>
      <w:marRight w:val="0"/>
      <w:marTop w:val="0"/>
      <w:marBottom w:val="0"/>
      <w:divBdr>
        <w:top w:val="none" w:sz="0" w:space="0" w:color="auto"/>
        <w:left w:val="none" w:sz="0" w:space="0" w:color="auto"/>
        <w:bottom w:val="none" w:sz="0" w:space="0" w:color="auto"/>
        <w:right w:val="none" w:sz="0" w:space="0" w:color="auto"/>
      </w:divBdr>
    </w:div>
    <w:div w:id="1031226370">
      <w:bodyDiv w:val="1"/>
      <w:marLeft w:val="0"/>
      <w:marRight w:val="0"/>
      <w:marTop w:val="0"/>
      <w:marBottom w:val="0"/>
      <w:divBdr>
        <w:top w:val="none" w:sz="0" w:space="0" w:color="auto"/>
        <w:left w:val="none" w:sz="0" w:space="0" w:color="auto"/>
        <w:bottom w:val="none" w:sz="0" w:space="0" w:color="auto"/>
        <w:right w:val="none" w:sz="0" w:space="0" w:color="auto"/>
      </w:divBdr>
    </w:div>
    <w:div w:id="1101293706">
      <w:bodyDiv w:val="1"/>
      <w:marLeft w:val="0"/>
      <w:marRight w:val="0"/>
      <w:marTop w:val="0"/>
      <w:marBottom w:val="0"/>
      <w:divBdr>
        <w:top w:val="none" w:sz="0" w:space="0" w:color="auto"/>
        <w:left w:val="none" w:sz="0" w:space="0" w:color="auto"/>
        <w:bottom w:val="none" w:sz="0" w:space="0" w:color="auto"/>
        <w:right w:val="none" w:sz="0" w:space="0" w:color="auto"/>
      </w:divBdr>
    </w:div>
    <w:div w:id="1251891993">
      <w:bodyDiv w:val="1"/>
      <w:marLeft w:val="0"/>
      <w:marRight w:val="0"/>
      <w:marTop w:val="0"/>
      <w:marBottom w:val="0"/>
      <w:divBdr>
        <w:top w:val="none" w:sz="0" w:space="0" w:color="auto"/>
        <w:left w:val="none" w:sz="0" w:space="0" w:color="auto"/>
        <w:bottom w:val="none" w:sz="0" w:space="0" w:color="auto"/>
        <w:right w:val="none" w:sz="0" w:space="0" w:color="auto"/>
      </w:divBdr>
    </w:div>
    <w:div w:id="1271158481">
      <w:bodyDiv w:val="1"/>
      <w:marLeft w:val="0"/>
      <w:marRight w:val="0"/>
      <w:marTop w:val="0"/>
      <w:marBottom w:val="0"/>
      <w:divBdr>
        <w:top w:val="none" w:sz="0" w:space="0" w:color="auto"/>
        <w:left w:val="none" w:sz="0" w:space="0" w:color="auto"/>
        <w:bottom w:val="none" w:sz="0" w:space="0" w:color="auto"/>
        <w:right w:val="none" w:sz="0" w:space="0" w:color="auto"/>
      </w:divBdr>
    </w:div>
    <w:div w:id="1356150995">
      <w:bodyDiv w:val="1"/>
      <w:marLeft w:val="0"/>
      <w:marRight w:val="0"/>
      <w:marTop w:val="0"/>
      <w:marBottom w:val="0"/>
      <w:divBdr>
        <w:top w:val="none" w:sz="0" w:space="0" w:color="auto"/>
        <w:left w:val="none" w:sz="0" w:space="0" w:color="auto"/>
        <w:bottom w:val="none" w:sz="0" w:space="0" w:color="auto"/>
        <w:right w:val="none" w:sz="0" w:space="0" w:color="auto"/>
      </w:divBdr>
    </w:div>
    <w:div w:id="1374230456">
      <w:bodyDiv w:val="1"/>
      <w:marLeft w:val="0"/>
      <w:marRight w:val="0"/>
      <w:marTop w:val="0"/>
      <w:marBottom w:val="0"/>
      <w:divBdr>
        <w:top w:val="none" w:sz="0" w:space="0" w:color="auto"/>
        <w:left w:val="none" w:sz="0" w:space="0" w:color="auto"/>
        <w:bottom w:val="none" w:sz="0" w:space="0" w:color="auto"/>
        <w:right w:val="none" w:sz="0" w:space="0" w:color="auto"/>
      </w:divBdr>
    </w:div>
    <w:div w:id="1476415895">
      <w:bodyDiv w:val="1"/>
      <w:marLeft w:val="0"/>
      <w:marRight w:val="0"/>
      <w:marTop w:val="0"/>
      <w:marBottom w:val="0"/>
      <w:divBdr>
        <w:top w:val="none" w:sz="0" w:space="0" w:color="auto"/>
        <w:left w:val="none" w:sz="0" w:space="0" w:color="auto"/>
        <w:bottom w:val="none" w:sz="0" w:space="0" w:color="auto"/>
        <w:right w:val="none" w:sz="0" w:space="0" w:color="auto"/>
      </w:divBdr>
    </w:div>
    <w:div w:id="1500583226">
      <w:bodyDiv w:val="1"/>
      <w:marLeft w:val="0"/>
      <w:marRight w:val="0"/>
      <w:marTop w:val="0"/>
      <w:marBottom w:val="0"/>
      <w:divBdr>
        <w:top w:val="none" w:sz="0" w:space="0" w:color="auto"/>
        <w:left w:val="none" w:sz="0" w:space="0" w:color="auto"/>
        <w:bottom w:val="none" w:sz="0" w:space="0" w:color="auto"/>
        <w:right w:val="none" w:sz="0" w:space="0" w:color="auto"/>
      </w:divBdr>
    </w:div>
    <w:div w:id="1540581869">
      <w:bodyDiv w:val="1"/>
      <w:marLeft w:val="0"/>
      <w:marRight w:val="0"/>
      <w:marTop w:val="0"/>
      <w:marBottom w:val="0"/>
      <w:divBdr>
        <w:top w:val="none" w:sz="0" w:space="0" w:color="auto"/>
        <w:left w:val="none" w:sz="0" w:space="0" w:color="auto"/>
        <w:bottom w:val="none" w:sz="0" w:space="0" w:color="auto"/>
        <w:right w:val="none" w:sz="0" w:space="0" w:color="auto"/>
      </w:divBdr>
    </w:div>
    <w:div w:id="1565332895">
      <w:bodyDiv w:val="1"/>
      <w:marLeft w:val="0"/>
      <w:marRight w:val="0"/>
      <w:marTop w:val="0"/>
      <w:marBottom w:val="0"/>
      <w:divBdr>
        <w:top w:val="none" w:sz="0" w:space="0" w:color="auto"/>
        <w:left w:val="none" w:sz="0" w:space="0" w:color="auto"/>
        <w:bottom w:val="none" w:sz="0" w:space="0" w:color="auto"/>
        <w:right w:val="none" w:sz="0" w:space="0" w:color="auto"/>
      </w:divBdr>
    </w:div>
    <w:div w:id="1590851778">
      <w:bodyDiv w:val="1"/>
      <w:marLeft w:val="0"/>
      <w:marRight w:val="0"/>
      <w:marTop w:val="0"/>
      <w:marBottom w:val="0"/>
      <w:divBdr>
        <w:top w:val="none" w:sz="0" w:space="0" w:color="auto"/>
        <w:left w:val="none" w:sz="0" w:space="0" w:color="auto"/>
        <w:bottom w:val="none" w:sz="0" w:space="0" w:color="auto"/>
        <w:right w:val="none" w:sz="0" w:space="0" w:color="auto"/>
      </w:divBdr>
    </w:div>
    <w:div w:id="1658997679">
      <w:bodyDiv w:val="1"/>
      <w:marLeft w:val="0"/>
      <w:marRight w:val="0"/>
      <w:marTop w:val="0"/>
      <w:marBottom w:val="0"/>
      <w:divBdr>
        <w:top w:val="none" w:sz="0" w:space="0" w:color="auto"/>
        <w:left w:val="none" w:sz="0" w:space="0" w:color="auto"/>
        <w:bottom w:val="none" w:sz="0" w:space="0" w:color="auto"/>
        <w:right w:val="none" w:sz="0" w:space="0" w:color="auto"/>
      </w:divBdr>
    </w:div>
    <w:div w:id="1761752185">
      <w:bodyDiv w:val="1"/>
      <w:marLeft w:val="0"/>
      <w:marRight w:val="0"/>
      <w:marTop w:val="0"/>
      <w:marBottom w:val="0"/>
      <w:divBdr>
        <w:top w:val="none" w:sz="0" w:space="0" w:color="auto"/>
        <w:left w:val="none" w:sz="0" w:space="0" w:color="auto"/>
        <w:bottom w:val="none" w:sz="0" w:space="0" w:color="auto"/>
        <w:right w:val="none" w:sz="0" w:space="0" w:color="auto"/>
      </w:divBdr>
    </w:div>
    <w:div w:id="1771581734">
      <w:bodyDiv w:val="1"/>
      <w:marLeft w:val="0"/>
      <w:marRight w:val="0"/>
      <w:marTop w:val="0"/>
      <w:marBottom w:val="0"/>
      <w:divBdr>
        <w:top w:val="none" w:sz="0" w:space="0" w:color="auto"/>
        <w:left w:val="none" w:sz="0" w:space="0" w:color="auto"/>
        <w:bottom w:val="none" w:sz="0" w:space="0" w:color="auto"/>
        <w:right w:val="none" w:sz="0" w:space="0" w:color="auto"/>
      </w:divBdr>
    </w:div>
    <w:div w:id="200875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ess@worldbank.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BDocument" ma:contentTypeID="0x010100F4C63C3BD852AE468EAEFD0E6C57C64F02006D7EC82DA1647345AC28DB416ACD31FE" ma:contentTypeVersion="21" ma:contentTypeDescription="" ma:contentTypeScope="" ma:versionID="114b76ec80228615397dcad25afc769b">
  <xsd:schema xmlns:xsd="http://www.w3.org/2001/XMLSchema" xmlns:xs="http://www.w3.org/2001/XMLSchema" xmlns:p="http://schemas.microsoft.com/office/2006/metadata/properties" xmlns:ns3="3e02667f-0271-471b-bd6e-11a2e16def1d" targetNamespace="http://schemas.microsoft.com/office/2006/metadata/properties" ma:root="true" ma:fieldsID="ad3bf256c714bb836ff93d33eb2fccb4"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fb56c88e-b4f1-42a3-8751-9d831b3d5ac2}" ma:internalName="TaxCatchAll" ma:showField="CatchAllData" ma:web="47c71cd2-815c-43ad-b08b-d212548ff21b">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fb56c88e-b4f1-42a3-8751-9d831b3d5ac2}" ma:internalName="TaxCatchAllLabel" ma:readOnly="true" ma:showField="CatchAllDataLabel" ma:web="47c71cd2-815c-43ad-b08b-d212548ff21b">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5;#ECRVP - Office of the Vice President|2b0efbf6-52af-4c63-813d-7564d22bc826"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a6c10d7-b926-4fc0-945e-3cbf5049f6bd" ContentTypeId="0x010100F4C63C3BD852AE468EAEFD0E6C57C64F02" PreviousValue="false"/>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1cb080a3dca4eb8a0fd03c7cc8bf8f7 xmlns="3e02667f-0271-471b-bd6e-11a2e16def1d">
      <Terms xmlns="http://schemas.microsoft.com/office/infopath/2007/PartnerControls"/>
    </o1cb080a3dca4eb8a0fd03c7cc8bf8f7>
    <Abstract xmlns="3e02667f-0271-471b-bd6e-11a2e16def1d" xsi:nil="true"/>
    <WBDocs_Access_To_Info_Exception xmlns="3e02667f-0271-471b-bd6e-11a2e16def1d">12. Not Assessed</WBDocs_Access_To_Info_Exception>
    <WBDocs_Document_Date xmlns="3e02667f-0271-471b-bd6e-11a2e16def1d">2026-09-17T03:11:06+00:00</WBDocs_Document_Date>
    <TaxCatchAll xmlns="3e02667f-0271-471b-bd6e-11a2e16def1d">
      <Value>5</Value>
    </TaxCatchAll>
    <OneCMS_Subcategory xmlns="3e02667f-0271-471b-bd6e-11a2e16def1d" xsi:nil="true"/>
    <i008215bacac45029ee8cafff4c8e93b xmlns="3e02667f-0271-471b-bd6e-11a2e16def1d">
      <Terms xmlns="http://schemas.microsoft.com/office/infopath/2007/PartnerControls">
        <TermInfo xmlns="http://schemas.microsoft.com/office/infopath/2007/PartnerControls">
          <TermName xmlns="http://schemas.microsoft.com/office/infopath/2007/PartnerControls">ECRVP - Office of the Vice President</TermName>
          <TermId xmlns="http://schemas.microsoft.com/office/infopath/2007/PartnerControls">2b0efbf6-52af-4c63-813d-7564d22bc826</TermId>
        </TermInfo>
      </Terms>
    </i008215bacac45029ee8cafff4c8e93b>
    <WBDocs_Information_Classification xmlns="3e02667f-0271-471b-bd6e-11a2e16def1d">Official Use Only</WBDocs_Information_Classification>
    <OneCMS_Category xmlns="3e02667f-0271-471b-bd6e-11a2e16def1d" xsi:nil="true"/>
  </documentManagement>
</p:properties>
</file>

<file path=customXml/itemProps1.xml><?xml version="1.0" encoding="utf-8"?>
<ds:datastoreItem xmlns:ds="http://schemas.openxmlformats.org/officeDocument/2006/customXml" ds:itemID="{259E85E2-E303-48C8-B5CA-36253EF22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58B227-253E-424C-9B02-E664AD805D1E}">
  <ds:schemaRefs>
    <ds:schemaRef ds:uri="Microsoft.SharePoint.Taxonomy.ContentTypeSync"/>
  </ds:schemaRefs>
</ds:datastoreItem>
</file>

<file path=customXml/itemProps3.xml><?xml version="1.0" encoding="utf-8"?>
<ds:datastoreItem xmlns:ds="http://schemas.openxmlformats.org/officeDocument/2006/customXml" ds:itemID="{26BCEF68-EC49-4D2F-B436-628061188DF5}">
  <ds:schemaRefs>
    <ds:schemaRef ds:uri="http://schemas.microsoft.com/sharepoint/events"/>
  </ds:schemaRefs>
</ds:datastoreItem>
</file>

<file path=customXml/itemProps4.xml><?xml version="1.0" encoding="utf-8"?>
<ds:datastoreItem xmlns:ds="http://schemas.openxmlformats.org/officeDocument/2006/customXml" ds:itemID="{B8CE76A5-4719-4E81-96F6-04DE5509F216}">
  <ds:schemaRefs>
    <ds:schemaRef ds:uri="http://schemas.microsoft.com/sharepoint/v3/contenttype/forms"/>
  </ds:schemaRefs>
</ds:datastoreItem>
</file>

<file path=customXml/itemProps5.xml><?xml version="1.0" encoding="utf-8"?>
<ds:datastoreItem xmlns:ds="http://schemas.openxmlformats.org/officeDocument/2006/customXml" ds:itemID="{83C5CE31-002A-4ADE-B575-4545069F1EAF}">
  <ds:schemaRefs>
    <ds:schemaRef ds:uri="http://schemas.microsoft.com/office/2006/metadata/properties"/>
    <ds:schemaRef ds:uri="http://schemas.microsoft.com/office/infopath/2007/PartnerControls"/>
    <ds:schemaRef ds:uri="3e02667f-0271-471b-bd6e-11a2e16def1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1106</Words>
  <Characters>5895</Characters>
  <Application>Microsoft Office Word</Application>
  <DocSecurity>4</DocSecurity>
  <Lines>94</Lines>
  <Paragraphs>16</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 Szabo Yamashita</dc:creator>
  <cp:keywords/>
  <dc:description/>
  <cp:lastModifiedBy>Aby K. Toure</cp:lastModifiedBy>
  <cp:revision>2</cp:revision>
  <cp:lastPrinted>2025-04-21T14:46:00Z</cp:lastPrinted>
  <dcterms:created xsi:type="dcterms:W3CDTF">2026-09-17T03:11:00Z</dcterms:created>
  <dcterms:modified xsi:type="dcterms:W3CDTF">2026-09-17T03:11:00Z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2b0b5d06,11e955e2,364c06d9</vt:lpwstr>
  </property>
  <property fmtid="{D5CDD505-2E9C-101B-9397-08002B2CF9AE}" pid="3" name="ClassificationContentMarkingFooterFontProps">
    <vt:lpwstr>#000000,10,Calibri</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2025-10-02T14:20:01Z</vt:lpwstr>
  </property>
  <property fmtid="{D5CDD505-2E9C-101B-9397-08002B2CF9AE}" pid="7" name="MSIP_Label_f1bf45b6-5649-4236-82a3-f45024cd282e_Method">
    <vt:lpwstr>Privileged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a615d240-16b7-48c1-ad9e-af1e925d7334</vt:lpwstr>
  </property>
  <property fmtid="{D5CDD505-2E9C-101B-9397-08002B2CF9AE}" pid="11" name="MSIP_Label_f1bf45b6-5649-4236-82a3-f45024cd282e_ContentBits">
    <vt:lpwstr>2</vt:lpwstr>
  </property>
  <property fmtid="{D5CDD505-2E9C-101B-9397-08002B2CF9AE}" pid="12" name="MSIP_Label_f1bf45b6-5649-4236-82a3-f45024cd282e_Tag">
    <vt:lpwstr>10, 2, 1, 1</vt:lpwstr>
  </property>
  <property fmtid="{D5CDD505-2E9C-101B-9397-08002B2CF9AE}" pid="13" name="ContentTypeId">
    <vt:lpwstr>0x010100F4C63C3BD852AE468EAEFD0E6C57C64F02006D7EC82DA1647345AC28DB416ACD31FE</vt:lpwstr>
  </property>
  <property fmtid="{D5CDD505-2E9C-101B-9397-08002B2CF9AE}" pid="14" name="WBDocs_Local_Document_Type">
    <vt:lpwstr/>
  </property>
  <property fmtid="{D5CDD505-2E9C-101B-9397-08002B2CF9AE}" pid="15" name="WBDocs_Originating_Unit">
    <vt:lpwstr>5;#ECRVP - Office of the Vice President|2b0efbf6-52af-4c63-813d-7564d22bc826</vt:lpwstr>
  </property>
  <property fmtid="{D5CDD505-2E9C-101B-9397-08002B2CF9AE}" pid="16" name="MediaServiceImageTags">
    <vt:lpwstr/>
  </property>
  <property fmtid="{D5CDD505-2E9C-101B-9397-08002B2CF9AE}" pid="17" name="lcf76f155ced4ddcb4097134ff3c332f">
    <vt:lpwstr/>
  </property>
</Properties>
</file>